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57346" w14:textId="77777777" w:rsidR="004528D2" w:rsidRDefault="004528D2" w:rsidP="004528D2">
      <w:pPr>
        <w:rPr>
          <w:rFonts w:ascii="Times New Roman" w:hAnsi="Times New Roman" w:cs="Times New Roman"/>
          <w:sz w:val="24"/>
          <w:szCs w:val="24"/>
        </w:rPr>
      </w:pPr>
      <w:r>
        <w:rPr>
          <w:rFonts w:ascii="Times New Roman" w:hAnsi="Times New Roman" w:cs="Times New Roman"/>
          <w:b/>
          <w:bCs/>
          <w:sz w:val="24"/>
          <w:szCs w:val="24"/>
        </w:rPr>
        <w:t>To:</w:t>
      </w:r>
      <w:r>
        <w:rPr>
          <w:rFonts w:ascii="Times New Roman" w:hAnsi="Times New Roman" w:cs="Times New Roman"/>
          <w:sz w:val="24"/>
          <w:szCs w:val="24"/>
        </w:rPr>
        <w:t xml:space="preserve">  Transportation &amp; Climate Initiative Participants</w:t>
      </w:r>
    </w:p>
    <w:p w14:paraId="0E53FF8D" w14:textId="77777777" w:rsidR="004528D2" w:rsidRPr="00C9424D" w:rsidRDefault="004528D2" w:rsidP="004528D2">
      <w:pPr>
        <w:rPr>
          <w:rFonts w:ascii="Times New Roman" w:hAnsi="Times New Roman" w:cs="Times New Roman"/>
          <w:sz w:val="24"/>
          <w:szCs w:val="24"/>
        </w:rPr>
      </w:pPr>
      <w:r>
        <w:rPr>
          <w:rFonts w:ascii="Times New Roman" w:hAnsi="Times New Roman" w:cs="Times New Roman"/>
          <w:b/>
          <w:bCs/>
          <w:sz w:val="24"/>
          <w:szCs w:val="24"/>
        </w:rPr>
        <w:t xml:space="preserve">From:  </w:t>
      </w:r>
      <w:r w:rsidRPr="00834466">
        <w:rPr>
          <w:rFonts w:ascii="Times New Roman" w:hAnsi="Times New Roman" w:cs="Times New Roman"/>
          <w:sz w:val="24"/>
          <w:szCs w:val="24"/>
        </w:rPr>
        <w:t>Allen Greenberg</w:t>
      </w:r>
      <w:r>
        <w:rPr>
          <w:rFonts w:ascii="Times New Roman" w:hAnsi="Times New Roman" w:cs="Times New Roman"/>
          <w:sz w:val="24"/>
          <w:szCs w:val="24"/>
        </w:rPr>
        <w:t xml:space="preserve"> (</w:t>
      </w:r>
      <w:hyperlink r:id="rId8" w:history="1">
        <w:r w:rsidRPr="008272E2">
          <w:rPr>
            <w:rStyle w:val="Hyperlink"/>
            <w:rFonts w:ascii="Times New Roman" w:hAnsi="Times New Roman" w:cs="Times New Roman"/>
            <w:sz w:val="24"/>
            <w:szCs w:val="24"/>
          </w:rPr>
          <w:t>agcatp2@aol.com</w:t>
        </w:r>
      </w:hyperlink>
      <w:r>
        <w:rPr>
          <w:rFonts w:ascii="Times New Roman" w:hAnsi="Times New Roman" w:cs="Times New Roman"/>
          <w:sz w:val="24"/>
          <w:szCs w:val="24"/>
        </w:rPr>
        <w:t>; 202-441-2138)</w:t>
      </w:r>
    </w:p>
    <w:p w14:paraId="477F83C3" w14:textId="1E67826E" w:rsidR="004528D2" w:rsidRPr="00834466" w:rsidRDefault="004528D2" w:rsidP="004528D2">
      <w:pPr>
        <w:rPr>
          <w:rFonts w:ascii="Times New Roman" w:hAnsi="Times New Roman" w:cs="Times New Roman"/>
          <w:sz w:val="24"/>
          <w:szCs w:val="24"/>
        </w:rPr>
      </w:pPr>
      <w:r>
        <w:rPr>
          <w:rFonts w:ascii="Times New Roman" w:hAnsi="Times New Roman" w:cs="Times New Roman"/>
          <w:b/>
          <w:bCs/>
          <w:sz w:val="24"/>
          <w:szCs w:val="24"/>
        </w:rPr>
        <w:t xml:space="preserve">Subject:  </w:t>
      </w:r>
      <w:r>
        <w:rPr>
          <w:rFonts w:ascii="Times New Roman" w:hAnsi="Times New Roman" w:cs="Times New Roman"/>
          <w:sz w:val="24"/>
          <w:szCs w:val="24"/>
        </w:rPr>
        <w:t xml:space="preserve">Comments on Program Design as Outlined on Sept. 16 and 29, 2020 </w:t>
      </w:r>
      <w:r w:rsidR="00AC36CC">
        <w:rPr>
          <w:rFonts w:ascii="Times New Roman" w:hAnsi="Times New Roman" w:cs="Times New Roman"/>
          <w:sz w:val="24"/>
          <w:szCs w:val="24"/>
        </w:rPr>
        <w:t xml:space="preserve">TCI </w:t>
      </w:r>
      <w:r>
        <w:rPr>
          <w:rFonts w:ascii="Times New Roman" w:hAnsi="Times New Roman" w:cs="Times New Roman"/>
          <w:sz w:val="24"/>
          <w:szCs w:val="24"/>
        </w:rPr>
        <w:t>Webinars – Modeled 2032 Max Mileage Reductions from Reference Case of Only 2.0% is a Program Failure</w:t>
      </w:r>
    </w:p>
    <w:p w14:paraId="3C1E47D0" w14:textId="0AA16909" w:rsidR="004528D2" w:rsidRDefault="004528D2" w:rsidP="004528D2">
      <w:pPr>
        <w:rPr>
          <w:rFonts w:ascii="Times New Roman" w:hAnsi="Times New Roman" w:cs="Times New Roman"/>
          <w:sz w:val="24"/>
          <w:szCs w:val="24"/>
        </w:rPr>
      </w:pPr>
      <w:r>
        <w:rPr>
          <w:rFonts w:ascii="Times New Roman" w:hAnsi="Times New Roman" w:cs="Times New Roman"/>
          <w:b/>
          <w:bCs/>
          <w:sz w:val="24"/>
          <w:szCs w:val="24"/>
        </w:rPr>
        <w:t xml:space="preserve">Date:  </w:t>
      </w:r>
      <w:r w:rsidR="00E179CF">
        <w:rPr>
          <w:rFonts w:ascii="Times New Roman" w:hAnsi="Times New Roman" w:cs="Times New Roman"/>
          <w:sz w:val="24"/>
          <w:szCs w:val="24"/>
        </w:rPr>
        <w:t xml:space="preserve">October </w:t>
      </w:r>
      <w:r w:rsidR="009206E0">
        <w:rPr>
          <w:rFonts w:ascii="Times New Roman" w:hAnsi="Times New Roman" w:cs="Times New Roman"/>
          <w:sz w:val="24"/>
          <w:szCs w:val="24"/>
        </w:rPr>
        <w:t>2</w:t>
      </w:r>
      <w:r>
        <w:rPr>
          <w:rFonts w:ascii="Times New Roman" w:hAnsi="Times New Roman" w:cs="Times New Roman"/>
          <w:sz w:val="24"/>
          <w:szCs w:val="24"/>
        </w:rPr>
        <w:t>, 2020</w:t>
      </w:r>
    </w:p>
    <w:p w14:paraId="645708AB" w14:textId="77777777" w:rsidR="00066DFA" w:rsidRDefault="00066DFA" w:rsidP="004528D2">
      <w:pPr>
        <w:rPr>
          <w:rFonts w:ascii="Times New Roman" w:hAnsi="Times New Roman" w:cs="Times New Roman"/>
          <w:sz w:val="24"/>
          <w:szCs w:val="24"/>
        </w:rPr>
      </w:pPr>
    </w:p>
    <w:p w14:paraId="3ED13FA7" w14:textId="6EC12AF6" w:rsidR="00A74A9B" w:rsidRDefault="004528D2" w:rsidP="004528D2">
      <w:pPr>
        <w:rPr>
          <w:rFonts w:ascii="Times New Roman" w:hAnsi="Times New Roman" w:cs="Times New Roman"/>
          <w:sz w:val="24"/>
          <w:szCs w:val="24"/>
        </w:rPr>
      </w:pPr>
      <w:r>
        <w:rPr>
          <w:rFonts w:ascii="Times New Roman" w:hAnsi="Times New Roman" w:cs="Times New Roman"/>
          <w:sz w:val="24"/>
          <w:szCs w:val="24"/>
        </w:rPr>
        <w:t>These comments cover two main topics</w:t>
      </w:r>
      <w:r w:rsidR="009C1718">
        <w:rPr>
          <w:rFonts w:ascii="Times New Roman" w:hAnsi="Times New Roman" w:cs="Times New Roman"/>
          <w:sz w:val="24"/>
          <w:szCs w:val="24"/>
        </w:rPr>
        <w:t xml:space="preserve"> – first, the “why” and “how” to </w:t>
      </w:r>
      <w:r w:rsidR="00A74A9B">
        <w:rPr>
          <w:rFonts w:ascii="Times New Roman" w:hAnsi="Times New Roman" w:cs="Times New Roman"/>
          <w:sz w:val="24"/>
          <w:szCs w:val="24"/>
        </w:rPr>
        <w:t xml:space="preserve">significantly </w:t>
      </w:r>
      <w:r w:rsidR="009C1718">
        <w:rPr>
          <w:rFonts w:ascii="Times New Roman" w:hAnsi="Times New Roman" w:cs="Times New Roman"/>
          <w:sz w:val="24"/>
          <w:szCs w:val="24"/>
        </w:rPr>
        <w:t xml:space="preserve">reduce vehicle-miles traveled (VMT) </w:t>
      </w:r>
      <w:r w:rsidR="00A74A9B">
        <w:rPr>
          <w:rFonts w:ascii="Times New Roman" w:hAnsi="Times New Roman" w:cs="Times New Roman"/>
          <w:sz w:val="24"/>
          <w:szCs w:val="24"/>
        </w:rPr>
        <w:t xml:space="preserve">and related carbon emissions </w:t>
      </w:r>
      <w:r w:rsidR="009C1718">
        <w:rPr>
          <w:rFonts w:ascii="Times New Roman" w:hAnsi="Times New Roman" w:cs="Times New Roman"/>
          <w:sz w:val="24"/>
          <w:szCs w:val="24"/>
        </w:rPr>
        <w:t xml:space="preserve">under the </w:t>
      </w:r>
      <w:r w:rsidR="006503D0">
        <w:rPr>
          <w:rFonts w:ascii="Times New Roman" w:hAnsi="Times New Roman" w:cs="Times New Roman"/>
          <w:sz w:val="24"/>
          <w:szCs w:val="24"/>
        </w:rPr>
        <w:t>Transportation &amp; Climate Initiative (TCI)</w:t>
      </w:r>
      <w:r w:rsidR="009C1718">
        <w:rPr>
          <w:rFonts w:ascii="Times New Roman" w:hAnsi="Times New Roman" w:cs="Times New Roman"/>
          <w:sz w:val="24"/>
          <w:szCs w:val="24"/>
        </w:rPr>
        <w:t xml:space="preserve"> framework, and second</w:t>
      </w:r>
      <w:r w:rsidR="00A74A9B">
        <w:rPr>
          <w:rFonts w:ascii="Times New Roman" w:hAnsi="Times New Roman" w:cs="Times New Roman"/>
          <w:sz w:val="24"/>
          <w:szCs w:val="24"/>
        </w:rPr>
        <w:t>, making some improvements to the emissions containment reserve (ECR) and the cost containment reserve (CCR), as currently proposed.</w:t>
      </w:r>
    </w:p>
    <w:p w14:paraId="409AD463" w14:textId="4E01E5AD" w:rsidR="009B6634" w:rsidRDefault="00D11EEB" w:rsidP="004528D2">
      <w:pPr>
        <w:rPr>
          <w:rFonts w:ascii="Times New Roman" w:hAnsi="Times New Roman" w:cs="Times New Roman"/>
          <w:sz w:val="24"/>
          <w:szCs w:val="24"/>
        </w:rPr>
      </w:pPr>
      <w:r>
        <w:rPr>
          <w:rFonts w:ascii="Times New Roman" w:hAnsi="Times New Roman" w:cs="Times New Roman"/>
          <w:sz w:val="24"/>
          <w:szCs w:val="24"/>
        </w:rPr>
        <w:t>The nine core scenarios evaluated under the TCI</w:t>
      </w:r>
      <w:r>
        <w:rPr>
          <w:rFonts w:ascii="Times New Roman" w:hAnsi="Times New Roman" w:cs="Times New Roman"/>
          <w:sz w:val="24"/>
          <w:szCs w:val="24"/>
        </w:rPr>
        <w:t xml:space="preserve"> </w:t>
      </w:r>
      <w:r>
        <w:rPr>
          <w:rFonts w:ascii="Times New Roman" w:hAnsi="Times New Roman" w:cs="Times New Roman"/>
          <w:sz w:val="24"/>
          <w:szCs w:val="24"/>
        </w:rPr>
        <w:t>yield only the tiniest reductions from Reference Case VMT</w:t>
      </w:r>
      <w:r w:rsidR="003473C9">
        <w:rPr>
          <w:rFonts w:ascii="Times New Roman" w:hAnsi="Times New Roman" w:cs="Times New Roman"/>
          <w:sz w:val="24"/>
          <w:szCs w:val="24"/>
        </w:rPr>
        <w:t xml:space="preserve"> in 2032</w:t>
      </w:r>
      <w:r>
        <w:rPr>
          <w:rFonts w:ascii="Times New Roman" w:hAnsi="Times New Roman" w:cs="Times New Roman"/>
          <w:sz w:val="24"/>
          <w:szCs w:val="24"/>
        </w:rPr>
        <w:t>, ranging from a low of 0.3% to a high of 2.0%, according to the spreadsheets provided on the TCI website.</w:t>
      </w:r>
      <w:r w:rsidR="003473C9">
        <w:rPr>
          <w:rFonts w:ascii="Times New Roman" w:hAnsi="Times New Roman" w:cs="Times New Roman"/>
          <w:sz w:val="24"/>
          <w:szCs w:val="24"/>
        </w:rPr>
        <w:t xml:space="preserve"> </w:t>
      </w:r>
      <w:r w:rsidR="00003099">
        <w:rPr>
          <w:rFonts w:ascii="Times New Roman" w:hAnsi="Times New Roman" w:cs="Times New Roman"/>
          <w:sz w:val="24"/>
          <w:szCs w:val="24"/>
        </w:rPr>
        <w:t xml:space="preserve"> </w:t>
      </w:r>
      <w:r w:rsidR="008E1DF6">
        <w:rPr>
          <w:rFonts w:ascii="Times New Roman" w:hAnsi="Times New Roman" w:cs="Times New Roman"/>
          <w:sz w:val="24"/>
          <w:szCs w:val="24"/>
        </w:rPr>
        <w:t xml:space="preserve">These comments propose </w:t>
      </w:r>
      <w:r w:rsidR="009B6634">
        <w:rPr>
          <w:rFonts w:ascii="Times New Roman" w:hAnsi="Times New Roman" w:cs="Times New Roman"/>
          <w:sz w:val="24"/>
          <w:szCs w:val="24"/>
        </w:rPr>
        <w:t xml:space="preserve">a </w:t>
      </w:r>
      <w:r w:rsidR="008E1DF6">
        <w:rPr>
          <w:rFonts w:ascii="Times New Roman" w:hAnsi="Times New Roman" w:cs="Times New Roman"/>
          <w:sz w:val="24"/>
          <w:szCs w:val="24"/>
        </w:rPr>
        <w:t>n</w:t>
      </w:r>
      <w:r w:rsidR="003473C9">
        <w:rPr>
          <w:rFonts w:ascii="Times New Roman" w:hAnsi="Times New Roman" w:cs="Times New Roman"/>
          <w:sz w:val="24"/>
          <w:szCs w:val="24"/>
        </w:rPr>
        <w:t xml:space="preserve">ew </w:t>
      </w:r>
      <w:r>
        <w:rPr>
          <w:rFonts w:ascii="Times New Roman" w:hAnsi="Times New Roman" w:cs="Times New Roman"/>
          <w:sz w:val="24"/>
          <w:szCs w:val="24"/>
        </w:rPr>
        <w:t xml:space="preserve">TCI program mechanism to encourage </w:t>
      </w:r>
      <w:r w:rsidR="004528D2">
        <w:rPr>
          <w:rFonts w:ascii="Times New Roman" w:hAnsi="Times New Roman" w:cs="Times New Roman"/>
          <w:sz w:val="24"/>
          <w:szCs w:val="24"/>
        </w:rPr>
        <w:t>“low hanging fruit” state-level polic</w:t>
      </w:r>
      <w:r>
        <w:rPr>
          <w:rFonts w:ascii="Times New Roman" w:hAnsi="Times New Roman" w:cs="Times New Roman"/>
          <w:sz w:val="24"/>
          <w:szCs w:val="24"/>
        </w:rPr>
        <w:t>y changes</w:t>
      </w:r>
      <w:r w:rsidR="003473C9">
        <w:rPr>
          <w:rFonts w:ascii="Times New Roman" w:hAnsi="Times New Roman" w:cs="Times New Roman"/>
          <w:sz w:val="24"/>
          <w:szCs w:val="24"/>
        </w:rPr>
        <w:t xml:space="preserve">, </w:t>
      </w:r>
      <w:r w:rsidR="00BA76D1">
        <w:rPr>
          <w:rFonts w:ascii="Times New Roman" w:hAnsi="Times New Roman" w:cs="Times New Roman"/>
          <w:sz w:val="24"/>
          <w:szCs w:val="24"/>
        </w:rPr>
        <w:t>especially</w:t>
      </w:r>
      <w:r w:rsidR="003473C9">
        <w:rPr>
          <w:rFonts w:ascii="Times New Roman" w:hAnsi="Times New Roman" w:cs="Times New Roman"/>
          <w:sz w:val="24"/>
          <w:szCs w:val="24"/>
        </w:rPr>
        <w:t xml:space="preserve"> those </w:t>
      </w:r>
      <w:r w:rsidR="003473C9">
        <w:rPr>
          <w:rFonts w:ascii="Times New Roman" w:hAnsi="Times New Roman" w:cs="Times New Roman"/>
          <w:sz w:val="24"/>
          <w:szCs w:val="24"/>
        </w:rPr>
        <w:t>shift</w:t>
      </w:r>
      <w:r w:rsidR="003473C9">
        <w:rPr>
          <w:rFonts w:ascii="Times New Roman" w:hAnsi="Times New Roman" w:cs="Times New Roman"/>
          <w:sz w:val="24"/>
          <w:szCs w:val="24"/>
        </w:rPr>
        <w:t>ing</w:t>
      </w:r>
      <w:r w:rsidR="003473C9">
        <w:rPr>
          <w:rFonts w:ascii="Times New Roman" w:hAnsi="Times New Roman" w:cs="Times New Roman"/>
          <w:sz w:val="24"/>
          <w:szCs w:val="24"/>
        </w:rPr>
        <w:t xml:space="preserve"> fixed driving and parking costs to variable usage pricing</w:t>
      </w:r>
      <w:r w:rsidR="003473C9">
        <w:rPr>
          <w:rFonts w:ascii="Times New Roman" w:hAnsi="Times New Roman" w:cs="Times New Roman"/>
          <w:sz w:val="24"/>
          <w:szCs w:val="24"/>
        </w:rPr>
        <w:t>,</w:t>
      </w:r>
      <w:r w:rsidR="004528D2">
        <w:rPr>
          <w:rFonts w:ascii="Times New Roman" w:hAnsi="Times New Roman" w:cs="Times New Roman"/>
          <w:sz w:val="24"/>
          <w:szCs w:val="24"/>
        </w:rPr>
        <w:t xml:space="preserve"> </w:t>
      </w:r>
      <w:r w:rsidR="006503D0">
        <w:rPr>
          <w:rFonts w:ascii="Times New Roman" w:hAnsi="Times New Roman" w:cs="Times New Roman"/>
          <w:sz w:val="24"/>
          <w:szCs w:val="24"/>
        </w:rPr>
        <w:t xml:space="preserve">that </w:t>
      </w:r>
      <w:r w:rsidR="00897F06">
        <w:rPr>
          <w:rFonts w:ascii="Times New Roman" w:hAnsi="Times New Roman" w:cs="Times New Roman"/>
          <w:sz w:val="24"/>
          <w:szCs w:val="24"/>
        </w:rPr>
        <w:t>would</w:t>
      </w:r>
      <w:r>
        <w:rPr>
          <w:rFonts w:ascii="Times New Roman" w:hAnsi="Times New Roman" w:cs="Times New Roman"/>
          <w:sz w:val="24"/>
          <w:szCs w:val="24"/>
        </w:rPr>
        <w:t xml:space="preserve"> </w:t>
      </w:r>
      <w:r w:rsidR="006503D0">
        <w:rPr>
          <w:rFonts w:ascii="Times New Roman" w:hAnsi="Times New Roman" w:cs="Times New Roman"/>
          <w:sz w:val="24"/>
          <w:szCs w:val="24"/>
        </w:rPr>
        <w:t xml:space="preserve">lead to </w:t>
      </w:r>
      <w:r>
        <w:rPr>
          <w:rFonts w:ascii="Times New Roman" w:hAnsi="Times New Roman" w:cs="Times New Roman"/>
          <w:sz w:val="24"/>
          <w:szCs w:val="24"/>
        </w:rPr>
        <w:t xml:space="preserve">very substantial VMT </w:t>
      </w:r>
      <w:r w:rsidR="00BA76D1">
        <w:rPr>
          <w:rFonts w:ascii="Times New Roman" w:hAnsi="Times New Roman" w:cs="Times New Roman"/>
          <w:sz w:val="24"/>
          <w:szCs w:val="24"/>
        </w:rPr>
        <w:t xml:space="preserve">and carbon emissions </w:t>
      </w:r>
      <w:r>
        <w:rPr>
          <w:rFonts w:ascii="Times New Roman" w:hAnsi="Times New Roman" w:cs="Times New Roman"/>
          <w:sz w:val="24"/>
          <w:szCs w:val="24"/>
        </w:rPr>
        <w:t xml:space="preserve">reductions.  </w:t>
      </w:r>
    </w:p>
    <w:p w14:paraId="320E8122" w14:textId="10F3452D" w:rsidR="009B6634" w:rsidRDefault="009B6634" w:rsidP="004528D2">
      <w:pPr>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accomplish this</w:t>
      </w:r>
      <w:r>
        <w:rPr>
          <w:rFonts w:ascii="Times New Roman" w:hAnsi="Times New Roman" w:cs="Times New Roman"/>
          <w:sz w:val="24"/>
          <w:szCs w:val="24"/>
        </w:rPr>
        <w:t xml:space="preserve">, I recommend setting up a third reserve account, on top of the two that TCI has already proposed, called a State Policy Innovations Bonus Reserve (SPIBR).  The SPIBR would, as envisioned and detailed more below, reward states with bonus allowances for doing two things to reduce VMT– (1) taking actions that most significantly bolster </w:t>
      </w:r>
      <w:r w:rsidR="00897F06">
        <w:rPr>
          <w:rFonts w:ascii="Times New Roman" w:hAnsi="Times New Roman" w:cs="Times New Roman"/>
          <w:sz w:val="24"/>
          <w:szCs w:val="24"/>
        </w:rPr>
        <w:t>foregone-</w:t>
      </w:r>
      <w:r>
        <w:rPr>
          <w:rFonts w:ascii="Times New Roman" w:hAnsi="Times New Roman" w:cs="Times New Roman"/>
          <w:sz w:val="24"/>
          <w:szCs w:val="24"/>
        </w:rPr>
        <w:t xml:space="preserve"> or reduced-driving financial incentives; and (2) achieving the largest reductions in per-capita VMT among their TCI peer states (</w:t>
      </w:r>
      <w:r w:rsidR="00897F06">
        <w:rPr>
          <w:rFonts w:ascii="Times New Roman" w:hAnsi="Times New Roman" w:cs="Times New Roman"/>
          <w:sz w:val="24"/>
          <w:szCs w:val="24"/>
        </w:rPr>
        <w:t>at least partly</w:t>
      </w:r>
      <w:r>
        <w:rPr>
          <w:rFonts w:ascii="Times New Roman" w:hAnsi="Times New Roman" w:cs="Times New Roman"/>
          <w:sz w:val="24"/>
          <w:szCs w:val="24"/>
        </w:rPr>
        <w:t xml:space="preserve"> resulting from a combination of wise infrastructure investment decisions with TCI allowance revenues and adopting strong related supporting policies, such as Complete Streets and coordinated development policy and transport decision making).</w:t>
      </w:r>
    </w:p>
    <w:p w14:paraId="70B5DABE" w14:textId="49B131B0" w:rsidR="004528D2" w:rsidRDefault="003473C9" w:rsidP="004528D2">
      <w:pPr>
        <w:rPr>
          <w:rFonts w:ascii="Times New Roman" w:hAnsi="Times New Roman" w:cs="Times New Roman"/>
          <w:sz w:val="24"/>
          <w:szCs w:val="24"/>
        </w:rPr>
      </w:pPr>
      <w:r>
        <w:rPr>
          <w:rFonts w:ascii="Times New Roman" w:hAnsi="Times New Roman" w:cs="Times New Roman"/>
          <w:sz w:val="24"/>
          <w:szCs w:val="24"/>
        </w:rPr>
        <w:t>S</w:t>
      </w:r>
      <w:r w:rsidR="00044DA4">
        <w:rPr>
          <w:rFonts w:ascii="Times New Roman" w:hAnsi="Times New Roman" w:cs="Times New Roman"/>
          <w:sz w:val="24"/>
          <w:szCs w:val="24"/>
        </w:rPr>
        <w:t xml:space="preserve">trategies </w:t>
      </w:r>
      <w:r w:rsidR="009B6634">
        <w:rPr>
          <w:rFonts w:ascii="Times New Roman" w:hAnsi="Times New Roman" w:cs="Times New Roman"/>
          <w:sz w:val="24"/>
          <w:szCs w:val="24"/>
        </w:rPr>
        <w:t>that the SPIBR would encourage</w:t>
      </w:r>
      <w:r>
        <w:rPr>
          <w:rFonts w:ascii="Times New Roman" w:hAnsi="Times New Roman" w:cs="Times New Roman"/>
          <w:sz w:val="24"/>
          <w:szCs w:val="24"/>
        </w:rPr>
        <w:t xml:space="preserve"> include</w:t>
      </w:r>
      <w:r w:rsidR="003D017B">
        <w:rPr>
          <w:rFonts w:ascii="Times New Roman" w:hAnsi="Times New Roman" w:cs="Times New Roman"/>
          <w:sz w:val="24"/>
          <w:szCs w:val="24"/>
        </w:rPr>
        <w:t xml:space="preserve"> </w:t>
      </w:r>
      <w:r w:rsidR="00210068">
        <w:rPr>
          <w:rFonts w:ascii="Times New Roman" w:hAnsi="Times New Roman" w:cs="Times New Roman"/>
          <w:sz w:val="24"/>
          <w:szCs w:val="24"/>
        </w:rPr>
        <w:t xml:space="preserve">state insurance laws and regulations requiring </w:t>
      </w:r>
      <w:r w:rsidR="00AB277A">
        <w:rPr>
          <w:rFonts w:ascii="Times New Roman" w:hAnsi="Times New Roman" w:cs="Times New Roman"/>
          <w:sz w:val="24"/>
          <w:szCs w:val="24"/>
        </w:rPr>
        <w:t xml:space="preserve">or rewarding </w:t>
      </w:r>
      <w:r w:rsidR="00210068">
        <w:rPr>
          <w:rFonts w:ascii="Times New Roman" w:hAnsi="Times New Roman" w:cs="Times New Roman"/>
          <w:sz w:val="24"/>
          <w:szCs w:val="24"/>
        </w:rPr>
        <w:t xml:space="preserve">pay-per-mile </w:t>
      </w:r>
      <w:r w:rsidR="00CC733F">
        <w:rPr>
          <w:rFonts w:ascii="Times New Roman" w:hAnsi="Times New Roman" w:cs="Times New Roman"/>
          <w:sz w:val="24"/>
          <w:szCs w:val="24"/>
        </w:rPr>
        <w:t>(</w:t>
      </w:r>
      <w:r w:rsidR="00210068">
        <w:rPr>
          <w:rFonts w:ascii="Times New Roman" w:hAnsi="Times New Roman" w:cs="Times New Roman"/>
          <w:sz w:val="24"/>
          <w:szCs w:val="24"/>
        </w:rPr>
        <w:t xml:space="preserve">sometimes known as </w:t>
      </w:r>
      <w:r w:rsidR="003D017B">
        <w:rPr>
          <w:rFonts w:ascii="Times New Roman" w:hAnsi="Times New Roman" w:cs="Times New Roman"/>
          <w:sz w:val="24"/>
          <w:szCs w:val="24"/>
        </w:rPr>
        <w:t>pay-as-you-drive-and-you-save (PAYDAYS)</w:t>
      </w:r>
      <w:r w:rsidR="00CC733F">
        <w:rPr>
          <w:rFonts w:ascii="Times New Roman" w:hAnsi="Times New Roman" w:cs="Times New Roman"/>
          <w:sz w:val="24"/>
          <w:szCs w:val="24"/>
        </w:rPr>
        <w:t>)</w:t>
      </w:r>
      <w:r w:rsidR="003D017B">
        <w:rPr>
          <w:rFonts w:ascii="Times New Roman" w:hAnsi="Times New Roman" w:cs="Times New Roman"/>
          <w:sz w:val="24"/>
          <w:szCs w:val="24"/>
        </w:rPr>
        <w:t xml:space="preserve"> car insurance and </w:t>
      </w:r>
      <w:r w:rsidR="00210068">
        <w:rPr>
          <w:rFonts w:ascii="Times New Roman" w:hAnsi="Times New Roman" w:cs="Times New Roman"/>
          <w:sz w:val="24"/>
          <w:szCs w:val="24"/>
        </w:rPr>
        <w:t xml:space="preserve">state tax laws requiring employers to offer a </w:t>
      </w:r>
      <w:r w:rsidR="003D017B">
        <w:rPr>
          <w:rFonts w:ascii="Times New Roman" w:hAnsi="Times New Roman" w:cs="Times New Roman"/>
          <w:sz w:val="24"/>
          <w:szCs w:val="24"/>
        </w:rPr>
        <w:t>parking cash</w:t>
      </w:r>
      <w:r w:rsidR="00BA76D1">
        <w:rPr>
          <w:rFonts w:ascii="Times New Roman" w:hAnsi="Times New Roman" w:cs="Times New Roman"/>
          <w:sz w:val="24"/>
          <w:szCs w:val="24"/>
        </w:rPr>
        <w:t>-</w:t>
      </w:r>
      <w:r w:rsidR="003D017B">
        <w:rPr>
          <w:rFonts w:ascii="Times New Roman" w:hAnsi="Times New Roman" w:cs="Times New Roman"/>
          <w:sz w:val="24"/>
          <w:szCs w:val="24"/>
        </w:rPr>
        <w:t>out</w:t>
      </w:r>
      <w:r w:rsidR="00210068">
        <w:rPr>
          <w:rFonts w:ascii="Times New Roman" w:hAnsi="Times New Roman" w:cs="Times New Roman"/>
          <w:sz w:val="24"/>
          <w:szCs w:val="24"/>
        </w:rPr>
        <w:t xml:space="preserve"> option in lieu of subsidized car parking</w:t>
      </w:r>
      <w:r w:rsidR="00CC733F">
        <w:rPr>
          <w:rFonts w:ascii="Times New Roman" w:hAnsi="Times New Roman" w:cs="Times New Roman"/>
          <w:sz w:val="24"/>
          <w:szCs w:val="24"/>
        </w:rPr>
        <w:t xml:space="preserve"> when they choose to offer the latter.  A bundle of such price-shifting strategies </w:t>
      </w:r>
      <w:r w:rsidR="00B91247">
        <w:rPr>
          <w:rFonts w:ascii="Times New Roman" w:hAnsi="Times New Roman" w:cs="Times New Roman"/>
          <w:sz w:val="24"/>
          <w:szCs w:val="24"/>
        </w:rPr>
        <w:t>has</w:t>
      </w:r>
      <w:r w:rsidR="004528D2">
        <w:rPr>
          <w:rFonts w:ascii="Times New Roman" w:hAnsi="Times New Roman" w:cs="Times New Roman"/>
          <w:sz w:val="24"/>
          <w:szCs w:val="24"/>
        </w:rPr>
        <w:t xml:space="preserve"> been modeled </w:t>
      </w:r>
      <w:r w:rsidR="00CC733F">
        <w:rPr>
          <w:rFonts w:ascii="Times New Roman" w:hAnsi="Times New Roman" w:cs="Times New Roman"/>
          <w:sz w:val="24"/>
          <w:szCs w:val="24"/>
        </w:rPr>
        <w:t xml:space="preserve">elsewhere </w:t>
      </w:r>
      <w:r w:rsidR="006428B4">
        <w:rPr>
          <w:rFonts w:ascii="Times New Roman" w:hAnsi="Times New Roman" w:cs="Times New Roman"/>
          <w:sz w:val="24"/>
          <w:szCs w:val="24"/>
        </w:rPr>
        <w:t>(</w:t>
      </w:r>
      <w:r w:rsidR="009C1718">
        <w:rPr>
          <w:rFonts w:ascii="Times New Roman" w:hAnsi="Times New Roman" w:cs="Times New Roman"/>
          <w:sz w:val="24"/>
          <w:szCs w:val="24"/>
        </w:rPr>
        <w:t xml:space="preserve">and </w:t>
      </w:r>
      <w:r w:rsidR="006428B4">
        <w:rPr>
          <w:rFonts w:ascii="Times New Roman" w:hAnsi="Times New Roman" w:cs="Times New Roman"/>
          <w:sz w:val="24"/>
          <w:szCs w:val="24"/>
        </w:rPr>
        <w:t xml:space="preserve">is discussed in the Appendix) </w:t>
      </w:r>
      <w:r w:rsidR="00BA76D1">
        <w:rPr>
          <w:rFonts w:ascii="Times New Roman" w:hAnsi="Times New Roman" w:cs="Times New Roman"/>
          <w:sz w:val="24"/>
          <w:szCs w:val="24"/>
        </w:rPr>
        <w:t xml:space="preserve">and was found </w:t>
      </w:r>
      <w:r w:rsidR="004528D2">
        <w:rPr>
          <w:rFonts w:ascii="Times New Roman" w:hAnsi="Times New Roman" w:cs="Times New Roman"/>
          <w:sz w:val="24"/>
          <w:szCs w:val="24"/>
        </w:rPr>
        <w:t xml:space="preserve">to reduce VMT </w:t>
      </w:r>
      <w:r w:rsidR="00B61156">
        <w:rPr>
          <w:rFonts w:ascii="Times New Roman" w:hAnsi="Times New Roman" w:cs="Times New Roman"/>
          <w:sz w:val="24"/>
          <w:szCs w:val="24"/>
        </w:rPr>
        <w:t>and related carbon emissions</w:t>
      </w:r>
      <w:r w:rsidR="003D017B">
        <w:rPr>
          <w:rFonts w:ascii="Times New Roman" w:hAnsi="Times New Roman" w:cs="Times New Roman"/>
          <w:sz w:val="24"/>
          <w:szCs w:val="24"/>
        </w:rPr>
        <w:t xml:space="preserve"> </w:t>
      </w:r>
      <w:r w:rsidR="004528D2">
        <w:rPr>
          <w:rFonts w:ascii="Times New Roman" w:hAnsi="Times New Roman" w:cs="Times New Roman"/>
          <w:sz w:val="24"/>
          <w:szCs w:val="24"/>
        </w:rPr>
        <w:t xml:space="preserve">by 23.2% </w:t>
      </w:r>
      <w:r w:rsidR="00B61156">
        <w:rPr>
          <w:rFonts w:ascii="Times New Roman" w:hAnsi="Times New Roman" w:cs="Times New Roman"/>
          <w:sz w:val="24"/>
          <w:szCs w:val="24"/>
        </w:rPr>
        <w:t>in 2030</w:t>
      </w:r>
      <w:r w:rsidR="00BC2B08">
        <w:rPr>
          <w:rFonts w:ascii="Times New Roman" w:hAnsi="Times New Roman" w:cs="Times New Roman"/>
          <w:sz w:val="24"/>
          <w:szCs w:val="24"/>
        </w:rPr>
        <w:t xml:space="preserve">.  </w:t>
      </w:r>
      <w:r w:rsidR="006503D0">
        <w:rPr>
          <w:rFonts w:ascii="Times New Roman" w:hAnsi="Times New Roman" w:cs="Times New Roman"/>
          <w:sz w:val="24"/>
          <w:szCs w:val="24"/>
        </w:rPr>
        <w:t>T</w:t>
      </w:r>
      <w:r w:rsidR="00BC2B08">
        <w:rPr>
          <w:rFonts w:ascii="Times New Roman" w:hAnsi="Times New Roman" w:cs="Times New Roman"/>
          <w:sz w:val="24"/>
          <w:szCs w:val="24"/>
        </w:rPr>
        <w:t xml:space="preserve">ransportation re-pricing strategies </w:t>
      </w:r>
      <w:r w:rsidR="006503D0">
        <w:rPr>
          <w:rFonts w:ascii="Times New Roman" w:hAnsi="Times New Roman" w:cs="Times New Roman"/>
          <w:sz w:val="24"/>
          <w:szCs w:val="24"/>
        </w:rPr>
        <w:t xml:space="preserve">save consumers </w:t>
      </w:r>
      <w:r w:rsidR="00BA76D1">
        <w:rPr>
          <w:rFonts w:ascii="Times New Roman" w:hAnsi="Times New Roman" w:cs="Times New Roman"/>
          <w:sz w:val="24"/>
          <w:szCs w:val="24"/>
        </w:rPr>
        <w:t>a lot of money</w:t>
      </w:r>
      <w:r w:rsidR="0018553F">
        <w:rPr>
          <w:rFonts w:ascii="Times New Roman" w:hAnsi="Times New Roman" w:cs="Times New Roman"/>
          <w:sz w:val="24"/>
          <w:szCs w:val="24"/>
        </w:rPr>
        <w:t xml:space="preserve"> and/or provide them significant rebates</w:t>
      </w:r>
      <w:r w:rsidR="005E2334">
        <w:rPr>
          <w:rFonts w:ascii="Times New Roman" w:hAnsi="Times New Roman" w:cs="Times New Roman"/>
          <w:sz w:val="24"/>
          <w:szCs w:val="24"/>
        </w:rPr>
        <w:t xml:space="preserve"> for times they choose not to drive</w:t>
      </w:r>
      <w:r w:rsidR="0018553F">
        <w:rPr>
          <w:rFonts w:ascii="Times New Roman" w:hAnsi="Times New Roman" w:cs="Times New Roman"/>
          <w:sz w:val="24"/>
          <w:szCs w:val="24"/>
        </w:rPr>
        <w:t>, w</w:t>
      </w:r>
      <w:r w:rsidR="006503D0">
        <w:rPr>
          <w:rFonts w:ascii="Times New Roman" w:hAnsi="Times New Roman" w:cs="Times New Roman"/>
          <w:sz w:val="24"/>
          <w:szCs w:val="24"/>
        </w:rPr>
        <w:t>hile making</w:t>
      </w:r>
      <w:r w:rsidR="00BC2B08">
        <w:rPr>
          <w:rFonts w:ascii="Times New Roman" w:hAnsi="Times New Roman" w:cs="Times New Roman"/>
          <w:sz w:val="24"/>
          <w:szCs w:val="24"/>
        </w:rPr>
        <w:t xml:space="preserve"> the variable price for driving and parking significantly higher than would be realized even if allowance prices were at their highest, </w:t>
      </w:r>
      <w:r w:rsidR="00BA76D1">
        <w:rPr>
          <w:rFonts w:ascii="Times New Roman" w:hAnsi="Times New Roman" w:cs="Times New Roman"/>
          <w:sz w:val="24"/>
          <w:szCs w:val="24"/>
        </w:rPr>
        <w:t xml:space="preserve">explaining </w:t>
      </w:r>
      <w:r w:rsidR="009B6634">
        <w:rPr>
          <w:rFonts w:ascii="Times New Roman" w:hAnsi="Times New Roman" w:cs="Times New Roman"/>
          <w:sz w:val="24"/>
          <w:szCs w:val="24"/>
        </w:rPr>
        <w:t>why consumers would choose to substantially reduce their VMT</w:t>
      </w:r>
      <w:r w:rsidR="00BC2B08">
        <w:rPr>
          <w:rFonts w:ascii="Times New Roman" w:hAnsi="Times New Roman" w:cs="Times New Roman"/>
          <w:sz w:val="24"/>
          <w:szCs w:val="24"/>
        </w:rPr>
        <w:t xml:space="preserve">.  </w:t>
      </w:r>
      <w:r w:rsidR="006428B4">
        <w:rPr>
          <w:rFonts w:ascii="Times New Roman" w:hAnsi="Times New Roman" w:cs="Times New Roman"/>
          <w:sz w:val="24"/>
          <w:szCs w:val="24"/>
        </w:rPr>
        <w:t xml:space="preserve">Dedicating </w:t>
      </w:r>
      <w:r w:rsidR="004528D2">
        <w:rPr>
          <w:rFonts w:ascii="Times New Roman" w:hAnsi="Times New Roman" w:cs="Times New Roman"/>
          <w:sz w:val="24"/>
          <w:szCs w:val="24"/>
        </w:rPr>
        <w:t xml:space="preserve">some TCI revenues to </w:t>
      </w:r>
      <w:r w:rsidR="009B6634">
        <w:rPr>
          <w:rFonts w:ascii="Times New Roman" w:hAnsi="Times New Roman" w:cs="Times New Roman"/>
          <w:sz w:val="24"/>
          <w:szCs w:val="24"/>
        </w:rPr>
        <w:t xml:space="preserve">SPIDR for </w:t>
      </w:r>
      <w:r w:rsidR="004528D2">
        <w:rPr>
          <w:rFonts w:ascii="Times New Roman" w:hAnsi="Times New Roman" w:cs="Times New Roman"/>
          <w:sz w:val="24"/>
          <w:szCs w:val="24"/>
        </w:rPr>
        <w:t>incentiv</w:t>
      </w:r>
      <w:r w:rsidR="009B6634">
        <w:rPr>
          <w:rFonts w:ascii="Times New Roman" w:hAnsi="Times New Roman" w:cs="Times New Roman"/>
          <w:sz w:val="24"/>
          <w:szCs w:val="24"/>
        </w:rPr>
        <w:t>es to</w:t>
      </w:r>
      <w:r w:rsidR="004528D2">
        <w:rPr>
          <w:rFonts w:ascii="Times New Roman" w:hAnsi="Times New Roman" w:cs="Times New Roman"/>
          <w:sz w:val="24"/>
          <w:szCs w:val="24"/>
        </w:rPr>
        <w:t xml:space="preserve"> </w:t>
      </w:r>
      <w:r w:rsidR="00916C10">
        <w:rPr>
          <w:rFonts w:ascii="Times New Roman" w:hAnsi="Times New Roman" w:cs="Times New Roman"/>
          <w:sz w:val="24"/>
          <w:szCs w:val="24"/>
        </w:rPr>
        <w:t xml:space="preserve">states to adopt </w:t>
      </w:r>
      <w:r w:rsidR="005E2334">
        <w:rPr>
          <w:rFonts w:ascii="Times New Roman" w:hAnsi="Times New Roman" w:cs="Times New Roman"/>
          <w:sz w:val="24"/>
          <w:szCs w:val="24"/>
        </w:rPr>
        <w:t>transportation re-pricing</w:t>
      </w:r>
      <w:r w:rsidR="004528D2">
        <w:rPr>
          <w:rFonts w:ascii="Times New Roman" w:hAnsi="Times New Roman" w:cs="Times New Roman"/>
          <w:sz w:val="24"/>
          <w:szCs w:val="24"/>
        </w:rPr>
        <w:t xml:space="preserve"> policies</w:t>
      </w:r>
      <w:r w:rsidR="006428B4">
        <w:rPr>
          <w:rFonts w:ascii="Times New Roman" w:hAnsi="Times New Roman" w:cs="Times New Roman"/>
          <w:sz w:val="24"/>
          <w:szCs w:val="24"/>
        </w:rPr>
        <w:t xml:space="preserve"> could bring this result about</w:t>
      </w:r>
      <w:r w:rsidR="00003099">
        <w:rPr>
          <w:rFonts w:ascii="Times New Roman" w:hAnsi="Times New Roman" w:cs="Times New Roman"/>
          <w:sz w:val="24"/>
          <w:szCs w:val="24"/>
        </w:rPr>
        <w:t xml:space="preserve">.  </w:t>
      </w:r>
    </w:p>
    <w:p w14:paraId="5D9F0BB4" w14:textId="4E8C26C8" w:rsidR="009360CE" w:rsidRDefault="009360CE" w:rsidP="004528D2">
      <w:pPr>
        <w:rPr>
          <w:rFonts w:ascii="Times New Roman" w:hAnsi="Times New Roman" w:cs="Times New Roman"/>
          <w:sz w:val="24"/>
          <w:szCs w:val="24"/>
        </w:rPr>
      </w:pPr>
      <w:r>
        <w:rPr>
          <w:rFonts w:ascii="Times New Roman" w:hAnsi="Times New Roman" w:cs="Times New Roman"/>
          <w:sz w:val="24"/>
          <w:szCs w:val="24"/>
        </w:rPr>
        <w:t xml:space="preserve">Reducing carbon emissions by curtailing VMT offers many </w:t>
      </w:r>
      <w:r w:rsidR="0018553F">
        <w:rPr>
          <w:rFonts w:ascii="Times New Roman" w:hAnsi="Times New Roman" w:cs="Times New Roman"/>
          <w:sz w:val="24"/>
          <w:szCs w:val="24"/>
        </w:rPr>
        <w:t xml:space="preserve">policy </w:t>
      </w:r>
      <w:r>
        <w:rPr>
          <w:rFonts w:ascii="Times New Roman" w:hAnsi="Times New Roman" w:cs="Times New Roman"/>
          <w:sz w:val="24"/>
          <w:szCs w:val="24"/>
        </w:rPr>
        <w:t>co-benefits</w:t>
      </w:r>
      <w:r w:rsidR="0018553F">
        <w:rPr>
          <w:rFonts w:ascii="Times New Roman" w:hAnsi="Times New Roman" w:cs="Times New Roman"/>
          <w:sz w:val="24"/>
          <w:szCs w:val="24"/>
        </w:rPr>
        <w:t xml:space="preserve"> important to state governments</w:t>
      </w:r>
      <w:r w:rsidR="00AB277A">
        <w:rPr>
          <w:rFonts w:ascii="Times New Roman" w:hAnsi="Times New Roman" w:cs="Times New Roman"/>
          <w:sz w:val="24"/>
          <w:szCs w:val="24"/>
        </w:rPr>
        <w:t xml:space="preserve"> that other emissions reduction strategies do not bring</w:t>
      </w:r>
      <w:r>
        <w:rPr>
          <w:rFonts w:ascii="Times New Roman" w:hAnsi="Times New Roman" w:cs="Times New Roman"/>
          <w:sz w:val="24"/>
          <w:szCs w:val="24"/>
        </w:rPr>
        <w:t xml:space="preserve">.  Federal vehicle emissions </w:t>
      </w:r>
      <w:r>
        <w:rPr>
          <w:rFonts w:ascii="Times New Roman" w:hAnsi="Times New Roman" w:cs="Times New Roman"/>
          <w:sz w:val="24"/>
          <w:szCs w:val="24"/>
        </w:rPr>
        <w:lastRenderedPageBreak/>
        <w:t xml:space="preserve">standards for criteria pollutants are mileage-based and are unrelated to vehicle and fleet fuel economy, meaning fewer miles driven due to pricing of VMT equates to less </w:t>
      </w:r>
      <w:r w:rsidR="007631D0">
        <w:rPr>
          <w:rFonts w:ascii="Times New Roman" w:hAnsi="Times New Roman" w:cs="Times New Roman"/>
          <w:sz w:val="24"/>
          <w:szCs w:val="24"/>
        </w:rPr>
        <w:t>pollution</w:t>
      </w:r>
      <w:r>
        <w:rPr>
          <w:rFonts w:ascii="Times New Roman" w:hAnsi="Times New Roman" w:cs="Times New Roman"/>
          <w:sz w:val="24"/>
          <w:szCs w:val="24"/>
        </w:rPr>
        <w:t>.  Vehicle crashes for individual drivers are closely correlated with VMT, and thus VMT reductions support state-level “Vision Zero” goals.  Of course, too, VMT reductions lead to congestion being curtailed, thus lessening infrastructure investment needs</w:t>
      </w:r>
      <w:r w:rsidR="00B91247">
        <w:rPr>
          <w:rFonts w:ascii="Times New Roman" w:hAnsi="Times New Roman" w:cs="Times New Roman"/>
          <w:sz w:val="24"/>
          <w:szCs w:val="24"/>
        </w:rPr>
        <w:t xml:space="preserve">.  </w:t>
      </w:r>
    </w:p>
    <w:p w14:paraId="1DFF6DB8" w14:textId="39957793" w:rsidR="002162BA" w:rsidRDefault="00D91C40" w:rsidP="00C32F94">
      <w:pPr>
        <w:rPr>
          <w:rFonts w:ascii="Times New Roman" w:hAnsi="Times New Roman" w:cs="Times New Roman"/>
          <w:sz w:val="24"/>
          <w:szCs w:val="24"/>
        </w:rPr>
      </w:pPr>
      <w:r>
        <w:rPr>
          <w:rFonts w:ascii="Times New Roman" w:hAnsi="Times New Roman" w:cs="Times New Roman"/>
          <w:sz w:val="24"/>
          <w:szCs w:val="24"/>
        </w:rPr>
        <w:t>Unrelated to SPIBR, and reflecting</w:t>
      </w:r>
      <w:r w:rsidR="004528D2">
        <w:rPr>
          <w:rFonts w:ascii="Times New Roman" w:hAnsi="Times New Roman" w:cs="Times New Roman"/>
          <w:sz w:val="24"/>
          <w:szCs w:val="24"/>
        </w:rPr>
        <w:t xml:space="preserve"> upon what was communicated at the TCI September 16, 2020 program design webinar, and follow</w:t>
      </w:r>
      <w:r w:rsidR="00AD778F">
        <w:rPr>
          <w:rFonts w:ascii="Times New Roman" w:hAnsi="Times New Roman" w:cs="Times New Roman"/>
          <w:sz w:val="24"/>
          <w:szCs w:val="24"/>
        </w:rPr>
        <w:t>-</w:t>
      </w:r>
      <w:r w:rsidR="004528D2">
        <w:rPr>
          <w:rFonts w:ascii="Times New Roman" w:hAnsi="Times New Roman" w:cs="Times New Roman"/>
          <w:sz w:val="24"/>
          <w:szCs w:val="24"/>
        </w:rPr>
        <w:t xml:space="preserve">on September 29, 2020 </w:t>
      </w:r>
      <w:r w:rsidR="007B2714">
        <w:rPr>
          <w:rFonts w:ascii="Times New Roman" w:hAnsi="Times New Roman" w:cs="Times New Roman"/>
          <w:sz w:val="24"/>
          <w:szCs w:val="24"/>
        </w:rPr>
        <w:t xml:space="preserve">webinar </w:t>
      </w:r>
      <w:r w:rsidR="004528D2">
        <w:rPr>
          <w:rFonts w:ascii="Times New Roman" w:hAnsi="Times New Roman" w:cs="Times New Roman"/>
          <w:sz w:val="24"/>
          <w:szCs w:val="24"/>
        </w:rPr>
        <w:t>focused on ensuring environmental justice and equity within the TCI program, TCI seems headed in the right direction</w:t>
      </w:r>
      <w:r w:rsidR="00916C10">
        <w:rPr>
          <w:rFonts w:ascii="Times New Roman" w:hAnsi="Times New Roman" w:cs="Times New Roman"/>
          <w:sz w:val="24"/>
          <w:szCs w:val="24"/>
        </w:rPr>
        <w:t xml:space="preserve"> structurally</w:t>
      </w:r>
      <w:r>
        <w:rPr>
          <w:rFonts w:ascii="Times New Roman" w:hAnsi="Times New Roman" w:cs="Times New Roman"/>
          <w:sz w:val="24"/>
          <w:szCs w:val="24"/>
        </w:rPr>
        <w:t xml:space="preserve">.  </w:t>
      </w:r>
      <w:r w:rsidR="00541071">
        <w:rPr>
          <w:rFonts w:ascii="Times New Roman" w:hAnsi="Times New Roman" w:cs="Times New Roman"/>
          <w:sz w:val="24"/>
          <w:szCs w:val="24"/>
        </w:rPr>
        <w:t>Setting up a price collar as TCI is doing by simultaneously e</w:t>
      </w:r>
      <w:r>
        <w:rPr>
          <w:rFonts w:ascii="Times New Roman" w:hAnsi="Times New Roman" w:cs="Times New Roman"/>
          <w:sz w:val="24"/>
          <w:szCs w:val="24"/>
        </w:rPr>
        <w:t xml:space="preserve">stablishing </w:t>
      </w:r>
      <w:r w:rsidR="00FB3DBB">
        <w:rPr>
          <w:rFonts w:ascii="Times New Roman" w:hAnsi="Times New Roman" w:cs="Times New Roman"/>
          <w:sz w:val="24"/>
          <w:szCs w:val="24"/>
        </w:rPr>
        <w:t>an</w:t>
      </w:r>
      <w:r w:rsidR="0018553F">
        <w:rPr>
          <w:rFonts w:ascii="Times New Roman" w:hAnsi="Times New Roman" w:cs="Times New Roman"/>
          <w:sz w:val="24"/>
          <w:szCs w:val="24"/>
        </w:rPr>
        <w:t xml:space="preserve"> E</w:t>
      </w:r>
      <w:r w:rsidR="004528D2">
        <w:rPr>
          <w:rFonts w:ascii="Times New Roman" w:hAnsi="Times New Roman" w:cs="Times New Roman"/>
          <w:sz w:val="24"/>
          <w:szCs w:val="24"/>
        </w:rPr>
        <w:t>CR</w:t>
      </w:r>
      <w:r w:rsidR="00541071">
        <w:rPr>
          <w:rFonts w:ascii="Times New Roman" w:hAnsi="Times New Roman" w:cs="Times New Roman"/>
          <w:sz w:val="24"/>
          <w:szCs w:val="24"/>
        </w:rPr>
        <w:t>—used to enforce the floor price—</w:t>
      </w:r>
      <w:r w:rsidR="004528D2">
        <w:rPr>
          <w:rFonts w:ascii="Times New Roman" w:hAnsi="Times New Roman" w:cs="Times New Roman"/>
          <w:sz w:val="24"/>
          <w:szCs w:val="24"/>
        </w:rPr>
        <w:t>and CCR</w:t>
      </w:r>
      <w:r w:rsidR="00541071">
        <w:rPr>
          <w:rFonts w:ascii="Times New Roman" w:hAnsi="Times New Roman" w:cs="Times New Roman"/>
          <w:sz w:val="24"/>
          <w:szCs w:val="24"/>
        </w:rPr>
        <w:t>—used to operationalize the price ceiling</w:t>
      </w:r>
      <w:r w:rsidR="004528D2">
        <w:rPr>
          <w:rFonts w:ascii="Times New Roman" w:hAnsi="Times New Roman" w:cs="Times New Roman"/>
          <w:sz w:val="24"/>
          <w:szCs w:val="24"/>
        </w:rPr>
        <w:t xml:space="preserve">, </w:t>
      </w:r>
      <w:r w:rsidR="00541071">
        <w:rPr>
          <w:rFonts w:ascii="Times New Roman" w:hAnsi="Times New Roman" w:cs="Times New Roman"/>
          <w:sz w:val="24"/>
          <w:szCs w:val="24"/>
        </w:rPr>
        <w:t>along</w:t>
      </w:r>
      <w:r w:rsidR="00FB3DBB">
        <w:rPr>
          <w:rFonts w:ascii="Times New Roman" w:hAnsi="Times New Roman" w:cs="Times New Roman"/>
          <w:sz w:val="24"/>
          <w:szCs w:val="24"/>
        </w:rPr>
        <w:t xml:space="preserve"> </w:t>
      </w:r>
      <w:r w:rsidR="00541071">
        <w:rPr>
          <w:rFonts w:ascii="Times New Roman" w:hAnsi="Times New Roman" w:cs="Times New Roman"/>
          <w:sz w:val="24"/>
          <w:szCs w:val="24"/>
        </w:rPr>
        <w:t xml:space="preserve">with </w:t>
      </w:r>
      <w:r w:rsidR="004528D2">
        <w:rPr>
          <w:rFonts w:ascii="Times New Roman" w:hAnsi="Times New Roman" w:cs="Times New Roman"/>
          <w:sz w:val="24"/>
          <w:szCs w:val="24"/>
        </w:rPr>
        <w:t>pledg</w:t>
      </w:r>
      <w:r w:rsidR="00FB3DBB">
        <w:rPr>
          <w:rFonts w:ascii="Times New Roman" w:hAnsi="Times New Roman" w:cs="Times New Roman"/>
          <w:sz w:val="24"/>
          <w:szCs w:val="24"/>
        </w:rPr>
        <w:t>ing</w:t>
      </w:r>
      <w:r w:rsidR="004528D2">
        <w:rPr>
          <w:rFonts w:ascii="Times New Roman" w:hAnsi="Times New Roman" w:cs="Times New Roman"/>
          <w:sz w:val="24"/>
          <w:szCs w:val="24"/>
        </w:rPr>
        <w:t xml:space="preserve"> to dedicate a minimum of 35% of TCI revenues be spent to benefit disadvantaged communities</w:t>
      </w:r>
      <w:r>
        <w:rPr>
          <w:rFonts w:ascii="Times New Roman" w:hAnsi="Times New Roman" w:cs="Times New Roman"/>
          <w:sz w:val="24"/>
          <w:szCs w:val="24"/>
        </w:rPr>
        <w:t>, are all good ideas</w:t>
      </w:r>
      <w:r w:rsidR="004528D2">
        <w:rPr>
          <w:rFonts w:ascii="Times New Roman" w:hAnsi="Times New Roman" w:cs="Times New Roman"/>
          <w:sz w:val="24"/>
          <w:szCs w:val="24"/>
        </w:rPr>
        <w:t>.</w:t>
      </w:r>
      <w:r w:rsidR="002F01E2">
        <w:rPr>
          <w:rFonts w:ascii="Times New Roman" w:hAnsi="Times New Roman" w:cs="Times New Roman"/>
          <w:sz w:val="24"/>
          <w:szCs w:val="24"/>
        </w:rPr>
        <w:t xml:space="preserve">  </w:t>
      </w:r>
    </w:p>
    <w:p w14:paraId="0A0C8C9C" w14:textId="60125C57" w:rsidR="007B2714" w:rsidRDefault="0018553F" w:rsidP="00C32F94">
      <w:pPr>
        <w:rPr>
          <w:rFonts w:ascii="Times New Roman" w:hAnsi="Times New Roman" w:cs="Times New Roman"/>
          <w:sz w:val="24"/>
          <w:szCs w:val="24"/>
        </w:rPr>
      </w:pPr>
      <w:r>
        <w:rPr>
          <w:rFonts w:ascii="Times New Roman" w:hAnsi="Times New Roman" w:cs="Times New Roman"/>
          <w:sz w:val="24"/>
          <w:szCs w:val="24"/>
        </w:rPr>
        <w:t>As detailed below, t</w:t>
      </w:r>
      <w:r w:rsidR="002162BA">
        <w:rPr>
          <w:rFonts w:ascii="Times New Roman" w:hAnsi="Times New Roman" w:cs="Times New Roman"/>
          <w:sz w:val="24"/>
          <w:szCs w:val="24"/>
        </w:rPr>
        <w:t xml:space="preserve">his submission </w:t>
      </w:r>
      <w:r w:rsidR="00FB3DBB">
        <w:rPr>
          <w:rFonts w:ascii="Times New Roman" w:hAnsi="Times New Roman" w:cs="Times New Roman"/>
          <w:sz w:val="24"/>
          <w:szCs w:val="24"/>
        </w:rPr>
        <w:t>make</w:t>
      </w:r>
      <w:r w:rsidR="002162BA">
        <w:rPr>
          <w:rFonts w:ascii="Times New Roman" w:hAnsi="Times New Roman" w:cs="Times New Roman"/>
          <w:sz w:val="24"/>
          <w:szCs w:val="24"/>
        </w:rPr>
        <w:t>s</w:t>
      </w:r>
      <w:r w:rsidR="00FB3DBB">
        <w:rPr>
          <w:rFonts w:ascii="Times New Roman" w:hAnsi="Times New Roman" w:cs="Times New Roman"/>
          <w:sz w:val="24"/>
          <w:szCs w:val="24"/>
        </w:rPr>
        <w:t xml:space="preserve"> suggestions to</w:t>
      </w:r>
      <w:r w:rsidR="004528D2">
        <w:rPr>
          <w:rFonts w:ascii="Times New Roman" w:hAnsi="Times New Roman" w:cs="Times New Roman"/>
          <w:sz w:val="24"/>
          <w:szCs w:val="24"/>
        </w:rPr>
        <w:t xml:space="preserve"> strengthen the ECR and CCR to further reduce emissions and improve program performance.  Specifically, I propose that the ECR be a mandatory component of TCI (not just a state option, as with the Regional Greenhouse Gas Initiative </w:t>
      </w:r>
      <w:r w:rsidR="00AD778F">
        <w:rPr>
          <w:rFonts w:ascii="Times New Roman" w:hAnsi="Times New Roman" w:cs="Times New Roman"/>
          <w:sz w:val="24"/>
          <w:szCs w:val="24"/>
        </w:rPr>
        <w:t>(</w:t>
      </w:r>
      <w:r w:rsidR="004528D2">
        <w:rPr>
          <w:rFonts w:ascii="Times New Roman" w:hAnsi="Times New Roman" w:cs="Times New Roman"/>
          <w:sz w:val="24"/>
          <w:szCs w:val="24"/>
        </w:rPr>
        <w:t>RGGI)</w:t>
      </w:r>
      <w:r w:rsidR="00AD778F">
        <w:rPr>
          <w:rFonts w:ascii="Times New Roman" w:hAnsi="Times New Roman" w:cs="Times New Roman"/>
          <w:sz w:val="24"/>
          <w:szCs w:val="24"/>
        </w:rPr>
        <w:t>)</w:t>
      </w:r>
      <w:r w:rsidR="004528D2">
        <w:rPr>
          <w:rFonts w:ascii="Times New Roman" w:hAnsi="Times New Roman" w:cs="Times New Roman"/>
          <w:sz w:val="24"/>
          <w:szCs w:val="24"/>
        </w:rPr>
        <w:t xml:space="preserve"> and that the price floor not be set too low.  I also propose that the CCR </w:t>
      </w:r>
      <w:r w:rsidR="00B61156">
        <w:rPr>
          <w:rFonts w:ascii="Times New Roman" w:hAnsi="Times New Roman" w:cs="Times New Roman"/>
          <w:sz w:val="24"/>
          <w:szCs w:val="24"/>
        </w:rPr>
        <w:t>allowances be released only</w:t>
      </w:r>
      <w:r w:rsidR="004528D2">
        <w:rPr>
          <w:rFonts w:ascii="Times New Roman" w:hAnsi="Times New Roman" w:cs="Times New Roman"/>
          <w:sz w:val="24"/>
          <w:szCs w:val="24"/>
        </w:rPr>
        <w:t xml:space="preserve"> if both of two conditions occur—a carbon price higher than the CCR price (as already proposed) and average fuel price at or near historic highs</w:t>
      </w:r>
      <w:r w:rsidR="00B61156">
        <w:rPr>
          <w:rFonts w:ascii="Times New Roman" w:hAnsi="Times New Roman" w:cs="Times New Roman"/>
          <w:sz w:val="24"/>
          <w:szCs w:val="24"/>
        </w:rPr>
        <w:t xml:space="preserve"> (as the price to the consumer would still be reasonable otherwise)</w:t>
      </w:r>
      <w:r w:rsidR="004528D2">
        <w:rPr>
          <w:rFonts w:ascii="Times New Roman" w:hAnsi="Times New Roman" w:cs="Times New Roman"/>
          <w:sz w:val="24"/>
          <w:szCs w:val="24"/>
        </w:rPr>
        <w:t>.</w:t>
      </w:r>
      <w:r w:rsidR="00B61156">
        <w:rPr>
          <w:rFonts w:ascii="Times New Roman" w:hAnsi="Times New Roman" w:cs="Times New Roman"/>
          <w:sz w:val="24"/>
          <w:szCs w:val="24"/>
        </w:rPr>
        <w:t xml:space="preserve">  Since low fuel prices would be the primary reason for high allowance demand, this second condition would help preserve CCR allowances and make it less likely that emissions targets would be blown.</w:t>
      </w:r>
      <w:r w:rsidR="004528D2">
        <w:rPr>
          <w:rFonts w:ascii="Times New Roman" w:hAnsi="Times New Roman" w:cs="Times New Roman"/>
          <w:sz w:val="24"/>
          <w:szCs w:val="24"/>
        </w:rPr>
        <w:t xml:space="preserve">  </w:t>
      </w:r>
    </w:p>
    <w:p w14:paraId="10BDAA14" w14:textId="77777777" w:rsidR="006428B4" w:rsidRPr="00107560" w:rsidRDefault="006428B4" w:rsidP="006428B4">
      <w:pPr>
        <w:rPr>
          <w:rFonts w:ascii="Times New Roman" w:hAnsi="Times New Roman" w:cs="Times New Roman"/>
          <w:sz w:val="24"/>
          <w:szCs w:val="24"/>
          <w:u w:val="single"/>
        </w:rPr>
      </w:pPr>
      <w:r w:rsidRPr="00107560">
        <w:rPr>
          <w:rFonts w:ascii="Times New Roman" w:hAnsi="Times New Roman" w:cs="Times New Roman"/>
          <w:sz w:val="24"/>
          <w:szCs w:val="24"/>
          <w:u w:val="single"/>
        </w:rPr>
        <w:t>The State Policy Innovations Bonus Reserve Focusing on VMT Reductions</w:t>
      </w:r>
    </w:p>
    <w:p w14:paraId="57328A52" w14:textId="5593219B" w:rsidR="006428B4" w:rsidRDefault="006428B4" w:rsidP="006428B4">
      <w:pPr>
        <w:rPr>
          <w:rFonts w:ascii="Times New Roman" w:hAnsi="Times New Roman" w:cs="Times New Roman"/>
          <w:sz w:val="24"/>
          <w:szCs w:val="24"/>
        </w:rPr>
      </w:pPr>
      <w:r>
        <w:rPr>
          <w:rFonts w:ascii="Times New Roman" w:hAnsi="Times New Roman" w:cs="Times New Roman"/>
          <w:sz w:val="24"/>
          <w:szCs w:val="24"/>
        </w:rPr>
        <w:t>As currently designed, TCI would provide no direct reward to states for taking state-level actions beyond what is minimally required (or offered as is the case with revenues) for TCI, especially as related to reducing VMT.  Per my earlier comments submitted on Feb. 28, 2020, the primary objective that TCI should strive to achieve is to reduce transportation emissions as much as possible</w:t>
      </w:r>
      <w:r w:rsidR="00E74B9C">
        <w:rPr>
          <w:rFonts w:ascii="Times New Roman" w:hAnsi="Times New Roman" w:cs="Times New Roman"/>
          <w:sz w:val="24"/>
          <w:szCs w:val="24"/>
        </w:rPr>
        <w:t>—</w:t>
      </w:r>
      <w:r>
        <w:rPr>
          <w:rFonts w:ascii="Times New Roman" w:hAnsi="Times New Roman" w:cs="Times New Roman"/>
          <w:sz w:val="24"/>
          <w:szCs w:val="24"/>
        </w:rPr>
        <w:t>meaning</w:t>
      </w:r>
      <w:r w:rsidR="00E74B9C">
        <w:rPr>
          <w:rFonts w:ascii="Times New Roman" w:hAnsi="Times New Roman" w:cs="Times New Roman"/>
          <w:sz w:val="24"/>
          <w:szCs w:val="24"/>
        </w:rPr>
        <w:t xml:space="preserve"> </w:t>
      </w:r>
      <w:r>
        <w:rPr>
          <w:rFonts w:ascii="Times New Roman" w:hAnsi="Times New Roman" w:cs="Times New Roman"/>
          <w:sz w:val="24"/>
          <w:szCs w:val="24"/>
        </w:rPr>
        <w:t xml:space="preserve">at least a 25% reduction </w:t>
      </w:r>
      <w:r w:rsidR="00E74B9C">
        <w:rPr>
          <w:rFonts w:ascii="Times New Roman" w:hAnsi="Times New Roman" w:cs="Times New Roman"/>
          <w:sz w:val="24"/>
          <w:szCs w:val="24"/>
        </w:rPr>
        <w:t>by 2032</w:t>
      </w:r>
      <w:r>
        <w:rPr>
          <w:rFonts w:ascii="Times New Roman" w:hAnsi="Times New Roman" w:cs="Times New Roman"/>
          <w:sz w:val="24"/>
          <w:szCs w:val="24"/>
        </w:rPr>
        <w:t xml:space="preserve">, instead of a 20 or 22% reduction which are also under consideration, </w:t>
      </w:r>
      <w:r w:rsidR="001014AF">
        <w:rPr>
          <w:rFonts w:ascii="Times New Roman" w:hAnsi="Times New Roman" w:cs="Times New Roman"/>
          <w:sz w:val="24"/>
          <w:szCs w:val="24"/>
        </w:rPr>
        <w:t>and</w:t>
      </w:r>
      <w:r>
        <w:rPr>
          <w:rFonts w:ascii="Times New Roman" w:hAnsi="Times New Roman" w:cs="Times New Roman"/>
          <w:sz w:val="24"/>
          <w:szCs w:val="24"/>
        </w:rPr>
        <w:t xml:space="preserve"> “sweep</w:t>
      </w:r>
      <w:r w:rsidR="00E74B9C">
        <w:rPr>
          <w:rFonts w:ascii="Times New Roman" w:hAnsi="Times New Roman" w:cs="Times New Roman"/>
          <w:sz w:val="24"/>
          <w:szCs w:val="24"/>
        </w:rPr>
        <w:t>ing</w:t>
      </w:r>
      <w:r>
        <w:rPr>
          <w:rFonts w:ascii="Times New Roman" w:hAnsi="Times New Roman" w:cs="Times New Roman"/>
          <w:sz w:val="24"/>
          <w:szCs w:val="24"/>
        </w:rPr>
        <w:t xml:space="preserve"> up” any additional reductions that could be had with little cost and effort.  </w:t>
      </w:r>
      <w:r w:rsidR="00E74B9C">
        <w:rPr>
          <w:rFonts w:ascii="Times New Roman" w:hAnsi="Times New Roman" w:cs="Times New Roman"/>
          <w:sz w:val="24"/>
          <w:szCs w:val="24"/>
        </w:rPr>
        <w:t>Critical to program success, the TCI draft memorandum of understanding needs to be revised to overcome the policy failure of none of the nine core modeled TCI scenarios achieving greater than a 2% reduction in VMT.</w:t>
      </w:r>
    </w:p>
    <w:p w14:paraId="48F14973" w14:textId="77777777" w:rsidR="006428B4" w:rsidRPr="00107560" w:rsidRDefault="006428B4" w:rsidP="006428B4">
      <w:pPr>
        <w:rPr>
          <w:rFonts w:ascii="Times New Roman" w:hAnsi="Times New Roman" w:cs="Times New Roman"/>
          <w:i/>
          <w:iCs/>
          <w:sz w:val="24"/>
          <w:szCs w:val="24"/>
        </w:rPr>
      </w:pPr>
      <w:r>
        <w:rPr>
          <w:rFonts w:ascii="Times New Roman" w:hAnsi="Times New Roman" w:cs="Times New Roman"/>
          <w:i/>
          <w:iCs/>
          <w:sz w:val="24"/>
          <w:szCs w:val="24"/>
        </w:rPr>
        <w:t xml:space="preserve">SPIBR Part 1 - </w:t>
      </w:r>
    </w:p>
    <w:p w14:paraId="6B9B9C90" w14:textId="04A4832A" w:rsidR="006428B4" w:rsidRDefault="006428B4" w:rsidP="006428B4">
      <w:pPr>
        <w:rPr>
          <w:rFonts w:ascii="Times New Roman" w:hAnsi="Times New Roman" w:cs="Times New Roman"/>
          <w:sz w:val="24"/>
          <w:szCs w:val="24"/>
        </w:rPr>
      </w:pPr>
      <w:r>
        <w:rPr>
          <w:rFonts w:ascii="Times New Roman" w:hAnsi="Times New Roman" w:cs="Times New Roman"/>
          <w:sz w:val="24"/>
          <w:szCs w:val="24"/>
        </w:rPr>
        <w:t xml:space="preserve">To accomplish this, TCI should aim for the adoption of as high a variable cost to driving and parking as feasible, enabled politically by converting fixed and hidden driving and parking costs to usage pricing, where total costs to most drivers will </w:t>
      </w:r>
      <w:r w:rsidR="0018553F">
        <w:rPr>
          <w:rFonts w:ascii="Times New Roman" w:hAnsi="Times New Roman" w:cs="Times New Roman"/>
          <w:sz w:val="24"/>
          <w:szCs w:val="24"/>
        </w:rPr>
        <w:t xml:space="preserve">nonetheless </w:t>
      </w:r>
      <w:r>
        <w:rPr>
          <w:rFonts w:ascii="Times New Roman" w:hAnsi="Times New Roman" w:cs="Times New Roman"/>
          <w:sz w:val="24"/>
          <w:szCs w:val="24"/>
        </w:rPr>
        <w:t xml:space="preserve">actually go down.  Incentives applied at the level of the individual driver are critical to meeting </w:t>
      </w:r>
      <w:r w:rsidR="00D66F01">
        <w:rPr>
          <w:rFonts w:ascii="Times New Roman" w:hAnsi="Times New Roman" w:cs="Times New Roman"/>
          <w:sz w:val="24"/>
          <w:szCs w:val="24"/>
        </w:rPr>
        <w:t>or hopefully</w:t>
      </w:r>
      <w:r>
        <w:rPr>
          <w:rFonts w:ascii="Times New Roman" w:hAnsi="Times New Roman" w:cs="Times New Roman"/>
          <w:sz w:val="24"/>
          <w:szCs w:val="24"/>
        </w:rPr>
        <w:t xml:space="preserve"> </w:t>
      </w:r>
      <w:r w:rsidR="001014AF">
        <w:rPr>
          <w:rFonts w:ascii="Times New Roman" w:hAnsi="Times New Roman" w:cs="Times New Roman"/>
          <w:sz w:val="24"/>
          <w:szCs w:val="24"/>
        </w:rPr>
        <w:t>surpassing</w:t>
      </w:r>
      <w:r>
        <w:rPr>
          <w:rFonts w:ascii="Times New Roman" w:hAnsi="Times New Roman" w:cs="Times New Roman"/>
          <w:sz w:val="24"/>
          <w:szCs w:val="24"/>
        </w:rPr>
        <w:t xml:space="preserve"> TCI’s carbon reduction goals, and states have many available policy levers to accomplish this.  It is proposed here that half of the SPIBR funds be dedicated to rewarding states with extra allowances for adopting policies that achieve such driver incentives.  Allowance awards for this part of the SPIBR program should be apportioned to states based upon</w:t>
      </w:r>
      <w:r w:rsidR="001014AF">
        <w:rPr>
          <w:rFonts w:ascii="Times New Roman" w:hAnsi="Times New Roman" w:cs="Times New Roman"/>
          <w:sz w:val="24"/>
          <w:szCs w:val="24"/>
        </w:rPr>
        <w:t xml:space="preserve"> </w:t>
      </w:r>
      <w:r>
        <w:rPr>
          <w:rFonts w:ascii="Times New Roman" w:hAnsi="Times New Roman" w:cs="Times New Roman"/>
          <w:sz w:val="24"/>
          <w:szCs w:val="24"/>
        </w:rPr>
        <w:t xml:space="preserve">the total amount of new </w:t>
      </w:r>
      <w:r>
        <w:rPr>
          <w:rFonts w:ascii="Times New Roman" w:hAnsi="Times New Roman" w:cs="Times New Roman"/>
          <w:sz w:val="24"/>
          <w:szCs w:val="24"/>
        </w:rPr>
        <w:lastRenderedPageBreak/>
        <w:t xml:space="preserve">variable </w:t>
      </w:r>
      <w:r w:rsidR="008812CE">
        <w:rPr>
          <w:rFonts w:ascii="Times New Roman" w:hAnsi="Times New Roman" w:cs="Times New Roman"/>
          <w:sz w:val="24"/>
          <w:szCs w:val="24"/>
        </w:rPr>
        <w:t>prices</w:t>
      </w:r>
      <w:r>
        <w:rPr>
          <w:rFonts w:ascii="Times New Roman" w:hAnsi="Times New Roman" w:cs="Times New Roman"/>
          <w:sz w:val="24"/>
          <w:szCs w:val="24"/>
        </w:rPr>
        <w:t xml:space="preserve"> </w:t>
      </w:r>
      <w:r w:rsidR="001014AF">
        <w:rPr>
          <w:rFonts w:ascii="Times New Roman" w:hAnsi="Times New Roman" w:cs="Times New Roman"/>
          <w:sz w:val="24"/>
          <w:szCs w:val="24"/>
        </w:rPr>
        <w:t xml:space="preserve">paid </w:t>
      </w:r>
      <w:r>
        <w:rPr>
          <w:rFonts w:ascii="Times New Roman" w:hAnsi="Times New Roman" w:cs="Times New Roman"/>
          <w:sz w:val="24"/>
          <w:szCs w:val="24"/>
        </w:rPr>
        <w:t xml:space="preserve">for driving and </w:t>
      </w:r>
      <w:r w:rsidR="001014AF">
        <w:rPr>
          <w:rFonts w:ascii="Times New Roman" w:hAnsi="Times New Roman" w:cs="Times New Roman"/>
          <w:sz w:val="24"/>
          <w:szCs w:val="24"/>
        </w:rPr>
        <w:t xml:space="preserve">the total </w:t>
      </w:r>
      <w:r>
        <w:rPr>
          <w:rFonts w:ascii="Times New Roman" w:hAnsi="Times New Roman" w:cs="Times New Roman"/>
          <w:sz w:val="24"/>
          <w:szCs w:val="24"/>
        </w:rPr>
        <w:t xml:space="preserve">new non-driving savings/rebate opportunities </w:t>
      </w:r>
      <w:r w:rsidR="001014AF">
        <w:rPr>
          <w:rFonts w:ascii="Times New Roman" w:hAnsi="Times New Roman" w:cs="Times New Roman"/>
          <w:sz w:val="24"/>
          <w:szCs w:val="24"/>
        </w:rPr>
        <w:t>offered</w:t>
      </w:r>
      <w:r w:rsidR="008812CE">
        <w:rPr>
          <w:rFonts w:ascii="Times New Roman" w:hAnsi="Times New Roman" w:cs="Times New Roman"/>
          <w:sz w:val="24"/>
          <w:szCs w:val="24"/>
        </w:rPr>
        <w:t xml:space="preserve"> </w:t>
      </w:r>
      <w:r>
        <w:rPr>
          <w:rFonts w:ascii="Times New Roman" w:hAnsi="Times New Roman" w:cs="Times New Roman"/>
          <w:sz w:val="24"/>
          <w:szCs w:val="24"/>
        </w:rPr>
        <w:t xml:space="preserve">for each of the first three years </w:t>
      </w:r>
      <w:r w:rsidR="00210068">
        <w:rPr>
          <w:rFonts w:ascii="Times New Roman" w:hAnsi="Times New Roman" w:cs="Times New Roman"/>
          <w:sz w:val="24"/>
          <w:szCs w:val="24"/>
        </w:rPr>
        <w:t>of the</w:t>
      </w:r>
      <w:r>
        <w:rPr>
          <w:rFonts w:ascii="Times New Roman" w:hAnsi="Times New Roman" w:cs="Times New Roman"/>
          <w:sz w:val="24"/>
          <w:szCs w:val="24"/>
        </w:rPr>
        <w:t xml:space="preserve"> state policy changes</w:t>
      </w:r>
      <w:r w:rsidR="00210068">
        <w:rPr>
          <w:rFonts w:ascii="Times New Roman" w:hAnsi="Times New Roman" w:cs="Times New Roman"/>
          <w:sz w:val="24"/>
          <w:szCs w:val="24"/>
        </w:rPr>
        <w:t xml:space="preserve"> that have </w:t>
      </w:r>
      <w:r w:rsidR="00CC733F">
        <w:rPr>
          <w:rFonts w:ascii="Times New Roman" w:hAnsi="Times New Roman" w:cs="Times New Roman"/>
          <w:sz w:val="24"/>
          <w:szCs w:val="24"/>
        </w:rPr>
        <w:t>led to</w:t>
      </w:r>
      <w:r w:rsidR="00210068">
        <w:rPr>
          <w:rFonts w:ascii="Times New Roman" w:hAnsi="Times New Roman" w:cs="Times New Roman"/>
          <w:sz w:val="24"/>
          <w:szCs w:val="24"/>
        </w:rPr>
        <w:t xml:space="preserve"> this</w:t>
      </w:r>
      <w:r>
        <w:rPr>
          <w:rFonts w:ascii="Times New Roman" w:hAnsi="Times New Roman" w:cs="Times New Roman"/>
          <w:sz w:val="24"/>
          <w:szCs w:val="24"/>
        </w:rPr>
        <w:t xml:space="preserve">.  </w:t>
      </w:r>
      <w:r w:rsidR="00691B71">
        <w:rPr>
          <w:rFonts w:ascii="Times New Roman" w:hAnsi="Times New Roman" w:cs="Times New Roman"/>
          <w:sz w:val="24"/>
          <w:szCs w:val="24"/>
        </w:rPr>
        <w:t>Additional background and discussion</w:t>
      </w:r>
      <w:r w:rsidR="00D66F01">
        <w:rPr>
          <w:rFonts w:ascii="Times New Roman" w:hAnsi="Times New Roman" w:cs="Times New Roman"/>
          <w:sz w:val="24"/>
          <w:szCs w:val="24"/>
        </w:rPr>
        <w:t xml:space="preserve"> can be found in the Appendix.  </w:t>
      </w:r>
      <w:r>
        <w:rPr>
          <w:rFonts w:ascii="Times New Roman" w:hAnsi="Times New Roman" w:cs="Times New Roman"/>
          <w:sz w:val="24"/>
          <w:szCs w:val="24"/>
        </w:rPr>
        <w:t>Experts under the Georgetown Climate Center should be tasked with creating and deploying the analytical methodology for determining the per-state totals of new pricing and new savings, and the related allowance allocations.</w:t>
      </w:r>
    </w:p>
    <w:p w14:paraId="4BD22DB5" w14:textId="77777777" w:rsidR="006428B4" w:rsidRPr="00794E48" w:rsidRDefault="006428B4" w:rsidP="006428B4">
      <w:pPr>
        <w:rPr>
          <w:rFonts w:ascii="Times New Roman" w:hAnsi="Times New Roman" w:cs="Times New Roman"/>
          <w:i/>
          <w:iCs/>
          <w:sz w:val="24"/>
          <w:szCs w:val="24"/>
        </w:rPr>
      </w:pPr>
      <w:r>
        <w:rPr>
          <w:rFonts w:ascii="Times New Roman" w:hAnsi="Times New Roman" w:cs="Times New Roman"/>
          <w:i/>
          <w:iCs/>
          <w:sz w:val="24"/>
          <w:szCs w:val="24"/>
        </w:rPr>
        <w:t>SPIBR Part 2 -</w:t>
      </w:r>
    </w:p>
    <w:p w14:paraId="59305A16" w14:textId="2D7B9B76" w:rsidR="006428B4" w:rsidRDefault="006428B4" w:rsidP="006428B4">
      <w:pPr>
        <w:rPr>
          <w:rFonts w:ascii="Times New Roman" w:hAnsi="Times New Roman" w:cs="Times New Roman"/>
          <w:sz w:val="24"/>
          <w:szCs w:val="24"/>
        </w:rPr>
      </w:pPr>
      <w:r>
        <w:rPr>
          <w:rFonts w:ascii="Times New Roman" w:hAnsi="Times New Roman" w:cs="Times New Roman"/>
          <w:sz w:val="24"/>
          <w:szCs w:val="24"/>
        </w:rPr>
        <w:t xml:space="preserve">The other half of SPIBR funds should be dedicated to solving a second TCI program deficiency—failure to </w:t>
      </w:r>
      <w:r w:rsidR="00691B71">
        <w:rPr>
          <w:rFonts w:ascii="Times New Roman" w:hAnsi="Times New Roman" w:cs="Times New Roman"/>
          <w:sz w:val="24"/>
          <w:szCs w:val="24"/>
        </w:rPr>
        <w:t xml:space="preserve">engage </w:t>
      </w:r>
      <w:r>
        <w:rPr>
          <w:rFonts w:ascii="Times New Roman" w:hAnsi="Times New Roman" w:cs="Times New Roman"/>
          <w:sz w:val="24"/>
          <w:szCs w:val="24"/>
        </w:rPr>
        <w:t xml:space="preserve">states </w:t>
      </w:r>
      <w:r w:rsidR="00691B71">
        <w:rPr>
          <w:rFonts w:ascii="Times New Roman" w:hAnsi="Times New Roman" w:cs="Times New Roman"/>
          <w:sz w:val="24"/>
          <w:szCs w:val="24"/>
        </w:rPr>
        <w:t xml:space="preserve">to consider if </w:t>
      </w:r>
      <w:r w:rsidR="00691B71">
        <w:rPr>
          <w:rFonts w:ascii="Times New Roman" w:hAnsi="Times New Roman" w:cs="Times New Roman"/>
          <w:sz w:val="24"/>
          <w:szCs w:val="24"/>
        </w:rPr>
        <w:t>the totality of their transportation investment and policy decisions</w:t>
      </w:r>
      <w:r w:rsidR="00691B71">
        <w:rPr>
          <w:rFonts w:ascii="Times New Roman" w:hAnsi="Times New Roman" w:cs="Times New Roman"/>
          <w:sz w:val="24"/>
          <w:szCs w:val="24"/>
        </w:rPr>
        <w:t xml:space="preserve"> lead to </w:t>
      </w:r>
      <w:r>
        <w:rPr>
          <w:rFonts w:ascii="Times New Roman" w:hAnsi="Times New Roman" w:cs="Times New Roman"/>
          <w:sz w:val="24"/>
          <w:szCs w:val="24"/>
        </w:rPr>
        <w:t xml:space="preserve">substantial VMT </w:t>
      </w:r>
      <w:r w:rsidR="00691B71">
        <w:rPr>
          <w:rFonts w:ascii="Times New Roman" w:hAnsi="Times New Roman" w:cs="Times New Roman"/>
          <w:sz w:val="24"/>
          <w:szCs w:val="24"/>
        </w:rPr>
        <w:t xml:space="preserve">and related emissions </w:t>
      </w:r>
      <w:r>
        <w:rPr>
          <w:rFonts w:ascii="Times New Roman" w:hAnsi="Times New Roman" w:cs="Times New Roman"/>
          <w:sz w:val="24"/>
          <w:szCs w:val="24"/>
        </w:rPr>
        <w:t xml:space="preserve">reductions. Without the SPIBR, state engagement is largely limited to how they choose to spend their allowance revenues, constrained only by the “policy floor” that they have to make at least some contribution to reducing transportation carbon emissions and </w:t>
      </w:r>
      <w:r w:rsidR="00170A37">
        <w:rPr>
          <w:rFonts w:ascii="Times New Roman" w:hAnsi="Times New Roman" w:cs="Times New Roman"/>
          <w:sz w:val="24"/>
          <w:szCs w:val="24"/>
        </w:rPr>
        <w:t xml:space="preserve">also that they must </w:t>
      </w:r>
      <w:r>
        <w:rPr>
          <w:rFonts w:ascii="Times New Roman" w:hAnsi="Times New Roman" w:cs="Times New Roman"/>
          <w:sz w:val="24"/>
          <w:szCs w:val="24"/>
        </w:rPr>
        <w:t xml:space="preserve">spend at least 35% of the revenues to benefit low-income communities.  State-level policy and investment decisions can have a big impact on transportation emissions and TCI incentives should be designed accordingly.  To maximize regional VMT and emissions reductions, allowances should be set aside to reward states for making exemplary transportation investment and policy decisions that show significant early results in reducing VMT and related carbon emissions.  </w:t>
      </w:r>
    </w:p>
    <w:p w14:paraId="78C89F5C" w14:textId="03C1030B" w:rsidR="00107560" w:rsidRDefault="006428B4" w:rsidP="006428B4">
      <w:pPr>
        <w:rPr>
          <w:rFonts w:ascii="Times New Roman" w:hAnsi="Times New Roman" w:cs="Times New Roman"/>
          <w:sz w:val="24"/>
          <w:szCs w:val="24"/>
          <w:u w:val="single"/>
        </w:rPr>
      </w:pPr>
      <w:r>
        <w:rPr>
          <w:rFonts w:ascii="Times New Roman" w:hAnsi="Times New Roman" w:cs="Times New Roman"/>
          <w:sz w:val="24"/>
          <w:szCs w:val="24"/>
        </w:rPr>
        <w:t xml:space="preserve">Structurally, I would recommend that half of the SPIBR funds be set aside each year to reward the top two participating states with the highest three-year rolling average in per capita </w:t>
      </w:r>
      <w:r w:rsidR="00170A37">
        <w:rPr>
          <w:rFonts w:ascii="Times New Roman" w:hAnsi="Times New Roman" w:cs="Times New Roman"/>
          <w:sz w:val="24"/>
          <w:szCs w:val="24"/>
        </w:rPr>
        <w:t>VMT and related</w:t>
      </w:r>
      <w:r>
        <w:rPr>
          <w:rFonts w:ascii="Times New Roman" w:hAnsi="Times New Roman" w:cs="Times New Roman"/>
          <w:sz w:val="24"/>
          <w:szCs w:val="24"/>
        </w:rPr>
        <w:t xml:space="preserve"> carbon emissions reductions.  I would reward two-thirds of such set-aside funds to the highest achieving state and one-third to the second highest.  Experts under the Georgetown Climate Center should be tasked with creating and deploying the analytical methodology for determining the state winners.</w:t>
      </w:r>
    </w:p>
    <w:p w14:paraId="7A5488CA" w14:textId="0C42C693" w:rsidR="00275FD1" w:rsidRPr="00107560" w:rsidRDefault="00275FD1" w:rsidP="00C32F94">
      <w:pPr>
        <w:rPr>
          <w:rFonts w:ascii="Times New Roman" w:hAnsi="Times New Roman" w:cs="Times New Roman"/>
          <w:sz w:val="24"/>
          <w:szCs w:val="24"/>
          <w:u w:val="single"/>
        </w:rPr>
      </w:pPr>
      <w:r w:rsidRPr="00107560">
        <w:rPr>
          <w:rFonts w:ascii="Times New Roman" w:hAnsi="Times New Roman" w:cs="Times New Roman"/>
          <w:sz w:val="24"/>
          <w:szCs w:val="24"/>
          <w:u w:val="single"/>
        </w:rPr>
        <w:t>The Emissions Containment Reserve</w:t>
      </w:r>
    </w:p>
    <w:p w14:paraId="6DE7D3FF" w14:textId="3F30226B" w:rsidR="008240E9" w:rsidRDefault="00D20476" w:rsidP="00C32F94">
      <w:pPr>
        <w:rPr>
          <w:rFonts w:ascii="Times New Roman" w:hAnsi="Times New Roman" w:cs="Times New Roman"/>
          <w:sz w:val="24"/>
          <w:szCs w:val="24"/>
        </w:rPr>
      </w:pPr>
      <w:r>
        <w:rPr>
          <w:rFonts w:ascii="Times New Roman" w:hAnsi="Times New Roman" w:cs="Times New Roman"/>
          <w:sz w:val="24"/>
          <w:szCs w:val="24"/>
        </w:rPr>
        <w:t>The ECR is especially important for two reasons.  First, it is very clear from a scientific standpoint that</w:t>
      </w:r>
      <w:r w:rsidR="008B077C">
        <w:rPr>
          <w:rFonts w:ascii="Times New Roman" w:hAnsi="Times New Roman" w:cs="Times New Roman"/>
          <w:sz w:val="24"/>
          <w:szCs w:val="24"/>
        </w:rPr>
        <w:t>,</w:t>
      </w:r>
      <w:r>
        <w:rPr>
          <w:rFonts w:ascii="Times New Roman" w:hAnsi="Times New Roman" w:cs="Times New Roman"/>
          <w:sz w:val="24"/>
          <w:szCs w:val="24"/>
        </w:rPr>
        <w:t xml:space="preserve"> </w:t>
      </w:r>
      <w:r w:rsidR="008B077C">
        <w:rPr>
          <w:rFonts w:ascii="Times New Roman" w:hAnsi="Times New Roman" w:cs="Times New Roman"/>
          <w:sz w:val="24"/>
          <w:szCs w:val="24"/>
        </w:rPr>
        <w:t xml:space="preserve">to avert global calamity, </w:t>
      </w:r>
      <w:r>
        <w:rPr>
          <w:rFonts w:ascii="Times New Roman" w:hAnsi="Times New Roman" w:cs="Times New Roman"/>
          <w:sz w:val="24"/>
          <w:szCs w:val="24"/>
        </w:rPr>
        <w:t xml:space="preserve">society needs to cut emissions more than </w:t>
      </w:r>
      <w:r w:rsidR="008B077C">
        <w:rPr>
          <w:rFonts w:ascii="Times New Roman" w:hAnsi="Times New Roman" w:cs="Times New Roman"/>
          <w:sz w:val="24"/>
          <w:szCs w:val="24"/>
        </w:rPr>
        <w:t xml:space="preserve">is </w:t>
      </w:r>
      <w:r w:rsidR="00310BE1">
        <w:rPr>
          <w:rFonts w:ascii="Times New Roman" w:hAnsi="Times New Roman" w:cs="Times New Roman"/>
          <w:sz w:val="24"/>
          <w:szCs w:val="24"/>
        </w:rPr>
        <w:t xml:space="preserve">currently </w:t>
      </w:r>
      <w:r w:rsidR="008B077C">
        <w:rPr>
          <w:rFonts w:ascii="Times New Roman" w:hAnsi="Times New Roman" w:cs="Times New Roman"/>
          <w:sz w:val="24"/>
          <w:szCs w:val="24"/>
        </w:rPr>
        <w:t xml:space="preserve">globally </w:t>
      </w:r>
      <w:r>
        <w:rPr>
          <w:rFonts w:ascii="Times New Roman" w:hAnsi="Times New Roman" w:cs="Times New Roman"/>
          <w:sz w:val="24"/>
          <w:szCs w:val="24"/>
        </w:rPr>
        <w:t xml:space="preserve">planned and </w:t>
      </w:r>
      <w:r w:rsidR="008B077C">
        <w:rPr>
          <w:rFonts w:ascii="Times New Roman" w:hAnsi="Times New Roman" w:cs="Times New Roman"/>
          <w:sz w:val="24"/>
          <w:szCs w:val="24"/>
        </w:rPr>
        <w:t xml:space="preserve">also </w:t>
      </w:r>
      <w:r>
        <w:rPr>
          <w:rFonts w:ascii="Times New Roman" w:hAnsi="Times New Roman" w:cs="Times New Roman"/>
          <w:sz w:val="24"/>
          <w:szCs w:val="24"/>
        </w:rPr>
        <w:t xml:space="preserve">more than </w:t>
      </w:r>
      <w:r w:rsidR="00363F99">
        <w:rPr>
          <w:rFonts w:ascii="Times New Roman" w:hAnsi="Times New Roman" w:cs="Times New Roman"/>
          <w:sz w:val="24"/>
          <w:szCs w:val="24"/>
        </w:rPr>
        <w:t xml:space="preserve">major societal players have shown they </w:t>
      </w:r>
      <w:r w:rsidR="008B077C">
        <w:rPr>
          <w:rFonts w:ascii="Times New Roman" w:hAnsi="Times New Roman" w:cs="Times New Roman"/>
          <w:sz w:val="24"/>
          <w:szCs w:val="24"/>
        </w:rPr>
        <w:t>underst</w:t>
      </w:r>
      <w:r w:rsidR="00310BE1">
        <w:rPr>
          <w:rFonts w:ascii="Times New Roman" w:hAnsi="Times New Roman" w:cs="Times New Roman"/>
          <w:sz w:val="24"/>
          <w:szCs w:val="24"/>
        </w:rPr>
        <w:t>and</w:t>
      </w:r>
      <w:r w:rsidR="008B077C">
        <w:rPr>
          <w:rFonts w:ascii="Times New Roman" w:hAnsi="Times New Roman" w:cs="Times New Roman"/>
          <w:sz w:val="24"/>
          <w:szCs w:val="24"/>
        </w:rPr>
        <w:t xml:space="preserve"> how to achieve</w:t>
      </w:r>
      <w:r>
        <w:rPr>
          <w:rFonts w:ascii="Times New Roman" w:hAnsi="Times New Roman" w:cs="Times New Roman"/>
          <w:sz w:val="24"/>
          <w:szCs w:val="24"/>
        </w:rPr>
        <w:t>. Reductions that are available for less than a very low price</w:t>
      </w:r>
      <w:r w:rsidR="001E0A07">
        <w:rPr>
          <w:rFonts w:ascii="Times New Roman" w:hAnsi="Times New Roman" w:cs="Times New Roman"/>
          <w:sz w:val="24"/>
          <w:szCs w:val="24"/>
        </w:rPr>
        <w:t xml:space="preserve"> should be grabbed</w:t>
      </w:r>
      <w:r w:rsidR="004140DA">
        <w:rPr>
          <w:rFonts w:ascii="Times New Roman" w:hAnsi="Times New Roman" w:cs="Times New Roman"/>
          <w:sz w:val="24"/>
          <w:szCs w:val="24"/>
        </w:rPr>
        <w:t xml:space="preserve"> and kept by retiring </w:t>
      </w:r>
      <w:r w:rsidR="00310BE1">
        <w:rPr>
          <w:rFonts w:ascii="Times New Roman" w:hAnsi="Times New Roman" w:cs="Times New Roman"/>
          <w:sz w:val="24"/>
          <w:szCs w:val="24"/>
        </w:rPr>
        <w:t xml:space="preserve">the </w:t>
      </w:r>
      <w:r w:rsidR="004140DA">
        <w:rPr>
          <w:rFonts w:ascii="Times New Roman" w:hAnsi="Times New Roman" w:cs="Times New Roman"/>
          <w:sz w:val="24"/>
          <w:szCs w:val="24"/>
        </w:rPr>
        <w:t>ECR allowances</w:t>
      </w:r>
      <w:r w:rsidR="001E0A07">
        <w:rPr>
          <w:rFonts w:ascii="Times New Roman" w:hAnsi="Times New Roman" w:cs="Times New Roman"/>
          <w:sz w:val="24"/>
          <w:szCs w:val="24"/>
        </w:rPr>
        <w:t xml:space="preserve">.  </w:t>
      </w:r>
      <w:r w:rsidR="00310BE1">
        <w:rPr>
          <w:rFonts w:ascii="Times New Roman" w:hAnsi="Times New Roman" w:cs="Times New Roman"/>
          <w:sz w:val="24"/>
          <w:szCs w:val="24"/>
        </w:rPr>
        <w:t>(I</w:t>
      </w:r>
      <w:r w:rsidR="00310BE1">
        <w:rPr>
          <w:rFonts w:ascii="Times New Roman" w:hAnsi="Times New Roman" w:cs="Times New Roman"/>
          <w:sz w:val="24"/>
          <w:szCs w:val="24"/>
        </w:rPr>
        <w:t>’d urge a starting ECR price of at least $10 per ton rather than the $6 per ton being enacted for RGGI in 2021</w:t>
      </w:r>
      <w:r w:rsidR="00310BE1">
        <w:rPr>
          <w:rFonts w:ascii="Times New Roman" w:hAnsi="Times New Roman" w:cs="Times New Roman"/>
          <w:sz w:val="24"/>
          <w:szCs w:val="24"/>
        </w:rPr>
        <w:t xml:space="preserve">.)  </w:t>
      </w:r>
      <w:r w:rsidR="001E0A07">
        <w:rPr>
          <w:rFonts w:ascii="Times New Roman" w:hAnsi="Times New Roman" w:cs="Times New Roman"/>
          <w:sz w:val="24"/>
          <w:szCs w:val="24"/>
        </w:rPr>
        <w:t xml:space="preserve">The second reason </w:t>
      </w:r>
      <w:r w:rsidR="00275FD1">
        <w:rPr>
          <w:rFonts w:ascii="Times New Roman" w:hAnsi="Times New Roman" w:cs="Times New Roman"/>
          <w:sz w:val="24"/>
          <w:szCs w:val="24"/>
        </w:rPr>
        <w:t xml:space="preserve">for </w:t>
      </w:r>
      <w:r w:rsidR="001E0A07">
        <w:rPr>
          <w:rFonts w:ascii="Times New Roman" w:hAnsi="Times New Roman" w:cs="Times New Roman"/>
          <w:sz w:val="24"/>
          <w:szCs w:val="24"/>
        </w:rPr>
        <w:t xml:space="preserve">a price floor </w:t>
      </w:r>
      <w:r w:rsidR="00D92CFF">
        <w:rPr>
          <w:rFonts w:ascii="Times New Roman" w:hAnsi="Times New Roman" w:cs="Times New Roman"/>
          <w:sz w:val="24"/>
          <w:szCs w:val="24"/>
        </w:rPr>
        <w:t xml:space="preserve">is that </w:t>
      </w:r>
      <w:r w:rsidR="00275FD1">
        <w:rPr>
          <w:rFonts w:ascii="Times New Roman" w:hAnsi="Times New Roman" w:cs="Times New Roman"/>
          <w:sz w:val="24"/>
          <w:szCs w:val="24"/>
        </w:rPr>
        <w:t>it</w:t>
      </w:r>
      <w:r w:rsidR="00340E51">
        <w:rPr>
          <w:rFonts w:ascii="Times New Roman" w:hAnsi="Times New Roman" w:cs="Times New Roman"/>
          <w:sz w:val="24"/>
          <w:szCs w:val="24"/>
        </w:rPr>
        <w:t xml:space="preserve"> </w:t>
      </w:r>
      <w:r w:rsidR="004140DA">
        <w:rPr>
          <w:rFonts w:ascii="Times New Roman" w:hAnsi="Times New Roman" w:cs="Times New Roman"/>
          <w:sz w:val="24"/>
          <w:szCs w:val="24"/>
        </w:rPr>
        <w:t xml:space="preserve">would </w:t>
      </w:r>
      <w:r w:rsidR="00340E51">
        <w:rPr>
          <w:rFonts w:ascii="Times New Roman" w:hAnsi="Times New Roman" w:cs="Times New Roman"/>
          <w:sz w:val="24"/>
          <w:szCs w:val="24"/>
        </w:rPr>
        <w:t xml:space="preserve">enable a guaranteed revenue stream that is essential for issuing investment bonds </w:t>
      </w:r>
      <w:r w:rsidR="00275FD1">
        <w:rPr>
          <w:rFonts w:ascii="Times New Roman" w:hAnsi="Times New Roman" w:cs="Times New Roman"/>
          <w:sz w:val="24"/>
          <w:szCs w:val="24"/>
        </w:rPr>
        <w:t xml:space="preserve">to support clean transportation investments. </w:t>
      </w:r>
      <w:r w:rsidR="00340E51">
        <w:rPr>
          <w:rFonts w:ascii="Times New Roman" w:hAnsi="Times New Roman" w:cs="Times New Roman"/>
          <w:sz w:val="24"/>
          <w:szCs w:val="24"/>
        </w:rPr>
        <w:t>(</w:t>
      </w:r>
      <w:r w:rsidR="00275FD1">
        <w:rPr>
          <w:rFonts w:ascii="Times New Roman" w:hAnsi="Times New Roman" w:cs="Times New Roman"/>
          <w:sz w:val="24"/>
          <w:szCs w:val="24"/>
        </w:rPr>
        <w:t xml:space="preserve">States frequently bond their </w:t>
      </w:r>
      <w:r w:rsidR="00340E51">
        <w:rPr>
          <w:rFonts w:ascii="Times New Roman" w:hAnsi="Times New Roman" w:cs="Times New Roman"/>
          <w:sz w:val="24"/>
          <w:szCs w:val="24"/>
        </w:rPr>
        <w:t xml:space="preserve">state gas tax revenues </w:t>
      </w:r>
      <w:r w:rsidR="00275FD1">
        <w:rPr>
          <w:rFonts w:ascii="Times New Roman" w:hAnsi="Times New Roman" w:cs="Times New Roman"/>
          <w:sz w:val="24"/>
          <w:szCs w:val="24"/>
        </w:rPr>
        <w:t>to facilitate major investments</w:t>
      </w:r>
      <w:r w:rsidR="00340E51">
        <w:rPr>
          <w:rFonts w:ascii="Times New Roman" w:hAnsi="Times New Roman" w:cs="Times New Roman"/>
          <w:sz w:val="24"/>
          <w:szCs w:val="24"/>
        </w:rPr>
        <w:t xml:space="preserve">).  </w:t>
      </w:r>
      <w:r w:rsidR="004140DA">
        <w:rPr>
          <w:rFonts w:ascii="Times New Roman" w:hAnsi="Times New Roman" w:cs="Times New Roman"/>
          <w:sz w:val="24"/>
          <w:szCs w:val="24"/>
        </w:rPr>
        <w:t xml:space="preserve">Without </w:t>
      </w:r>
      <w:r w:rsidR="008240E9">
        <w:rPr>
          <w:rFonts w:ascii="Times New Roman" w:hAnsi="Times New Roman" w:cs="Times New Roman"/>
          <w:sz w:val="24"/>
          <w:szCs w:val="24"/>
        </w:rPr>
        <w:t xml:space="preserve">a price floor, paired with bonding, revenues would be uncertain, could </w:t>
      </w:r>
      <w:r w:rsidR="002F01E2">
        <w:rPr>
          <w:rFonts w:ascii="Times New Roman" w:hAnsi="Times New Roman" w:cs="Times New Roman"/>
          <w:sz w:val="24"/>
          <w:szCs w:val="24"/>
        </w:rPr>
        <w:t xml:space="preserve">at times </w:t>
      </w:r>
      <w:r w:rsidR="008240E9">
        <w:rPr>
          <w:rFonts w:ascii="Times New Roman" w:hAnsi="Times New Roman" w:cs="Times New Roman"/>
          <w:sz w:val="24"/>
          <w:szCs w:val="24"/>
        </w:rPr>
        <w:t xml:space="preserve">be low, and would not allow for planned, major clean transportation investments.  </w:t>
      </w:r>
    </w:p>
    <w:p w14:paraId="7E2AF377" w14:textId="5C4991AB" w:rsidR="00D92CFF" w:rsidRDefault="008240E9" w:rsidP="00C32F94">
      <w:pPr>
        <w:rPr>
          <w:rFonts w:ascii="Times New Roman" w:hAnsi="Times New Roman" w:cs="Times New Roman"/>
          <w:sz w:val="24"/>
          <w:szCs w:val="24"/>
        </w:rPr>
      </w:pPr>
      <w:r>
        <w:rPr>
          <w:rFonts w:ascii="Times New Roman" w:hAnsi="Times New Roman" w:cs="Times New Roman"/>
          <w:sz w:val="24"/>
          <w:szCs w:val="24"/>
        </w:rPr>
        <w:t xml:space="preserve">A price </w:t>
      </w:r>
      <w:r w:rsidR="00340E51">
        <w:rPr>
          <w:rFonts w:ascii="Times New Roman" w:hAnsi="Times New Roman" w:cs="Times New Roman"/>
          <w:sz w:val="24"/>
          <w:szCs w:val="24"/>
        </w:rPr>
        <w:t>floor</w:t>
      </w:r>
      <w:r w:rsidR="00275FD1">
        <w:rPr>
          <w:rFonts w:ascii="Times New Roman" w:hAnsi="Times New Roman" w:cs="Times New Roman"/>
          <w:sz w:val="24"/>
          <w:szCs w:val="24"/>
        </w:rPr>
        <w:t xml:space="preserve">, </w:t>
      </w:r>
      <w:r w:rsidR="00340E51">
        <w:rPr>
          <w:rFonts w:ascii="Times New Roman" w:hAnsi="Times New Roman" w:cs="Times New Roman"/>
          <w:sz w:val="24"/>
          <w:szCs w:val="24"/>
        </w:rPr>
        <w:t>if it does kick in</w:t>
      </w:r>
      <w:r w:rsidR="00275FD1">
        <w:rPr>
          <w:rFonts w:ascii="Times New Roman" w:hAnsi="Times New Roman" w:cs="Times New Roman"/>
          <w:sz w:val="24"/>
          <w:szCs w:val="24"/>
        </w:rPr>
        <w:t>,</w:t>
      </w:r>
      <w:r w:rsidR="00340E51">
        <w:rPr>
          <w:rFonts w:ascii="Times New Roman" w:hAnsi="Times New Roman" w:cs="Times New Roman"/>
          <w:sz w:val="24"/>
          <w:szCs w:val="24"/>
        </w:rPr>
        <w:t xml:space="preserve"> would </w:t>
      </w:r>
      <w:r>
        <w:rPr>
          <w:rFonts w:ascii="Times New Roman" w:hAnsi="Times New Roman" w:cs="Times New Roman"/>
          <w:sz w:val="24"/>
          <w:szCs w:val="24"/>
        </w:rPr>
        <w:t xml:space="preserve">also </w:t>
      </w:r>
      <w:r w:rsidR="00340E51">
        <w:rPr>
          <w:rFonts w:ascii="Times New Roman" w:hAnsi="Times New Roman" w:cs="Times New Roman"/>
          <w:sz w:val="24"/>
          <w:szCs w:val="24"/>
        </w:rPr>
        <w:t xml:space="preserve">increase the economic incentive to travelers to reduce their carbon footprint.  Even if the auction price always remains above the floor price, </w:t>
      </w:r>
      <w:r>
        <w:rPr>
          <w:rFonts w:ascii="Times New Roman" w:hAnsi="Times New Roman" w:cs="Times New Roman"/>
          <w:sz w:val="24"/>
          <w:szCs w:val="24"/>
        </w:rPr>
        <w:t xml:space="preserve">however, </w:t>
      </w:r>
      <w:r w:rsidR="00340E51">
        <w:rPr>
          <w:rFonts w:ascii="Times New Roman" w:hAnsi="Times New Roman" w:cs="Times New Roman"/>
          <w:sz w:val="24"/>
          <w:szCs w:val="24"/>
        </w:rPr>
        <w:t xml:space="preserve">it would still, at the margins, likely have some impact on longer term consumer decisions related </w:t>
      </w:r>
      <w:r w:rsidR="00340E51">
        <w:rPr>
          <w:rFonts w:ascii="Times New Roman" w:hAnsi="Times New Roman" w:cs="Times New Roman"/>
          <w:sz w:val="24"/>
          <w:szCs w:val="24"/>
        </w:rPr>
        <w:lastRenderedPageBreak/>
        <w:t xml:space="preserve">to purchases of vehicles (for fuel efficiency) and housing (for location efficiency) by creating an expectation that future fuel prices may be higher than otherwise.  </w:t>
      </w:r>
    </w:p>
    <w:p w14:paraId="5999E492" w14:textId="56FEE96B" w:rsidR="00D00D22" w:rsidRPr="00D00D22" w:rsidRDefault="009634A6" w:rsidP="00C32F94">
      <w:pPr>
        <w:rPr>
          <w:rFonts w:ascii="Times New Roman" w:hAnsi="Times New Roman" w:cs="Times New Roman"/>
          <w:sz w:val="24"/>
          <w:szCs w:val="24"/>
        </w:rPr>
      </w:pPr>
      <w:r>
        <w:rPr>
          <w:rFonts w:ascii="Times New Roman" w:hAnsi="Times New Roman" w:cs="Times New Roman"/>
          <w:sz w:val="24"/>
          <w:szCs w:val="24"/>
        </w:rPr>
        <w:t>I understand the ECR that will be started for RGGI in 2021 is at state option.  It should</w:t>
      </w:r>
      <w:r w:rsidR="002F01E2">
        <w:rPr>
          <w:rFonts w:ascii="Times New Roman" w:hAnsi="Times New Roman" w:cs="Times New Roman"/>
          <w:sz w:val="24"/>
          <w:szCs w:val="24"/>
        </w:rPr>
        <w:t xml:space="preserve"> </w:t>
      </w:r>
      <w:r>
        <w:rPr>
          <w:rFonts w:ascii="Times New Roman" w:hAnsi="Times New Roman" w:cs="Times New Roman"/>
          <w:sz w:val="24"/>
          <w:szCs w:val="24"/>
        </w:rPr>
        <w:t>n</w:t>
      </w:r>
      <w:r w:rsidR="002F01E2">
        <w:rPr>
          <w:rFonts w:ascii="Times New Roman" w:hAnsi="Times New Roman" w:cs="Times New Roman"/>
          <w:sz w:val="24"/>
          <w:szCs w:val="24"/>
        </w:rPr>
        <w:t>o</w:t>
      </w:r>
      <w:r>
        <w:rPr>
          <w:rFonts w:ascii="Times New Roman" w:hAnsi="Times New Roman" w:cs="Times New Roman"/>
          <w:sz w:val="24"/>
          <w:szCs w:val="24"/>
        </w:rPr>
        <w:t>t be</w:t>
      </w:r>
      <w:r w:rsidR="00D92CFF">
        <w:rPr>
          <w:rFonts w:ascii="Times New Roman" w:hAnsi="Times New Roman" w:cs="Times New Roman"/>
          <w:sz w:val="24"/>
          <w:szCs w:val="24"/>
        </w:rPr>
        <w:t xml:space="preserve"> with TCI, as </w:t>
      </w:r>
      <w:r w:rsidR="004140DA">
        <w:rPr>
          <w:rFonts w:ascii="Times New Roman" w:hAnsi="Times New Roman" w:cs="Times New Roman"/>
          <w:sz w:val="24"/>
          <w:szCs w:val="24"/>
        </w:rPr>
        <w:t>its benefits</w:t>
      </w:r>
      <w:r w:rsidR="008240E9">
        <w:rPr>
          <w:rFonts w:ascii="Times New Roman" w:hAnsi="Times New Roman" w:cs="Times New Roman"/>
          <w:sz w:val="24"/>
          <w:szCs w:val="24"/>
        </w:rPr>
        <w:t>, as outlined above,</w:t>
      </w:r>
      <w:r w:rsidR="004140DA">
        <w:rPr>
          <w:rFonts w:ascii="Times New Roman" w:hAnsi="Times New Roman" w:cs="Times New Roman"/>
          <w:sz w:val="24"/>
          <w:szCs w:val="24"/>
        </w:rPr>
        <w:t xml:space="preserve"> come only from the certainty of state-level enactment.</w:t>
      </w:r>
      <w:r w:rsidR="00D92CFF">
        <w:rPr>
          <w:rFonts w:ascii="Times New Roman" w:hAnsi="Times New Roman" w:cs="Times New Roman"/>
          <w:sz w:val="24"/>
          <w:szCs w:val="24"/>
        </w:rPr>
        <w:t xml:space="preserve"> </w:t>
      </w:r>
      <w:r>
        <w:rPr>
          <w:rFonts w:ascii="Times New Roman" w:hAnsi="Times New Roman" w:cs="Times New Roman"/>
          <w:sz w:val="24"/>
          <w:szCs w:val="24"/>
        </w:rPr>
        <w:t xml:space="preserve"> </w:t>
      </w:r>
      <w:r w:rsidR="00D20476">
        <w:rPr>
          <w:rFonts w:ascii="Times New Roman" w:hAnsi="Times New Roman" w:cs="Times New Roman"/>
          <w:sz w:val="24"/>
          <w:szCs w:val="24"/>
        </w:rPr>
        <w:t xml:space="preserve"> </w:t>
      </w:r>
    </w:p>
    <w:p w14:paraId="2FF78FCF" w14:textId="439681D6" w:rsidR="00072313" w:rsidRPr="00107560" w:rsidRDefault="00072313" w:rsidP="00C32F94">
      <w:pPr>
        <w:rPr>
          <w:rFonts w:ascii="Times New Roman" w:hAnsi="Times New Roman" w:cs="Times New Roman"/>
          <w:sz w:val="24"/>
          <w:szCs w:val="24"/>
          <w:u w:val="single"/>
        </w:rPr>
      </w:pPr>
      <w:r w:rsidRPr="00107560">
        <w:rPr>
          <w:rFonts w:ascii="Times New Roman" w:hAnsi="Times New Roman" w:cs="Times New Roman"/>
          <w:sz w:val="24"/>
          <w:szCs w:val="24"/>
          <w:u w:val="single"/>
        </w:rPr>
        <w:t>The Cost Containment Reserve</w:t>
      </w:r>
    </w:p>
    <w:p w14:paraId="00047213" w14:textId="01BA6F60" w:rsidR="009E680E" w:rsidRDefault="00D46B4B" w:rsidP="00D46B4B">
      <w:pPr>
        <w:rPr>
          <w:rFonts w:ascii="Times New Roman" w:hAnsi="Times New Roman" w:cs="Times New Roman"/>
          <w:sz w:val="24"/>
          <w:szCs w:val="24"/>
        </w:rPr>
      </w:pPr>
      <w:r>
        <w:rPr>
          <w:rFonts w:ascii="Times New Roman" w:hAnsi="Times New Roman" w:cs="Times New Roman"/>
          <w:sz w:val="24"/>
          <w:szCs w:val="24"/>
        </w:rPr>
        <w:t>The CCR is an an</w:t>
      </w:r>
      <w:r w:rsidR="00D13340">
        <w:rPr>
          <w:rFonts w:ascii="Times New Roman" w:hAnsi="Times New Roman" w:cs="Times New Roman"/>
          <w:sz w:val="24"/>
          <w:szCs w:val="24"/>
        </w:rPr>
        <w:t>ti</w:t>
      </w:r>
      <w:r>
        <w:rPr>
          <w:rFonts w:ascii="Times New Roman" w:hAnsi="Times New Roman" w:cs="Times New Roman"/>
          <w:sz w:val="24"/>
          <w:szCs w:val="24"/>
        </w:rPr>
        <w:t xml:space="preserve">dote to </w:t>
      </w:r>
      <w:r w:rsidR="00880676">
        <w:rPr>
          <w:rFonts w:ascii="Times New Roman" w:hAnsi="Times New Roman" w:cs="Times New Roman"/>
          <w:sz w:val="24"/>
          <w:szCs w:val="24"/>
        </w:rPr>
        <w:t xml:space="preserve">the </w:t>
      </w:r>
      <w:r w:rsidR="00F102D9">
        <w:rPr>
          <w:rFonts w:ascii="Times New Roman" w:hAnsi="Times New Roman" w:cs="Times New Roman"/>
          <w:sz w:val="24"/>
          <w:szCs w:val="24"/>
        </w:rPr>
        <w:t>assertions</w:t>
      </w:r>
      <w:r w:rsidR="00880676">
        <w:rPr>
          <w:rFonts w:ascii="Times New Roman" w:hAnsi="Times New Roman" w:cs="Times New Roman"/>
          <w:sz w:val="24"/>
          <w:szCs w:val="24"/>
        </w:rPr>
        <w:t xml:space="preserve"> of</w:t>
      </w:r>
      <w:r>
        <w:rPr>
          <w:rFonts w:ascii="Times New Roman" w:hAnsi="Times New Roman" w:cs="Times New Roman"/>
          <w:sz w:val="24"/>
          <w:szCs w:val="24"/>
        </w:rPr>
        <w:t xml:space="preserve"> cap-and-</w:t>
      </w:r>
      <w:r w:rsidR="00C80AE6">
        <w:rPr>
          <w:rFonts w:ascii="Times New Roman" w:hAnsi="Times New Roman" w:cs="Times New Roman"/>
          <w:sz w:val="24"/>
          <w:szCs w:val="24"/>
        </w:rPr>
        <w:t>invest</w:t>
      </w:r>
      <w:r>
        <w:rPr>
          <w:rFonts w:ascii="Times New Roman" w:hAnsi="Times New Roman" w:cs="Times New Roman"/>
          <w:sz w:val="24"/>
          <w:szCs w:val="24"/>
        </w:rPr>
        <w:t xml:space="preserve"> </w:t>
      </w:r>
      <w:r w:rsidR="00880676">
        <w:rPr>
          <w:rFonts w:ascii="Times New Roman" w:hAnsi="Times New Roman" w:cs="Times New Roman"/>
          <w:sz w:val="24"/>
          <w:szCs w:val="24"/>
        </w:rPr>
        <w:t xml:space="preserve">opponents </w:t>
      </w:r>
      <w:r>
        <w:rPr>
          <w:rFonts w:ascii="Times New Roman" w:hAnsi="Times New Roman" w:cs="Times New Roman"/>
          <w:sz w:val="24"/>
          <w:szCs w:val="24"/>
        </w:rPr>
        <w:t>that</w:t>
      </w:r>
      <w:r w:rsidR="00880676">
        <w:rPr>
          <w:rFonts w:ascii="Times New Roman" w:hAnsi="Times New Roman" w:cs="Times New Roman"/>
          <w:sz w:val="24"/>
          <w:szCs w:val="24"/>
        </w:rPr>
        <w:t>, evidence notwithstanding,</w:t>
      </w:r>
      <w:r>
        <w:rPr>
          <w:rFonts w:ascii="Times New Roman" w:hAnsi="Times New Roman" w:cs="Times New Roman"/>
          <w:sz w:val="24"/>
          <w:szCs w:val="24"/>
        </w:rPr>
        <w:t xml:space="preserve"> </w:t>
      </w:r>
      <w:r w:rsidR="00F102D9">
        <w:rPr>
          <w:rFonts w:ascii="Times New Roman" w:hAnsi="Times New Roman" w:cs="Times New Roman"/>
          <w:sz w:val="24"/>
          <w:szCs w:val="24"/>
        </w:rPr>
        <w:t>allowance</w:t>
      </w:r>
      <w:r>
        <w:rPr>
          <w:rFonts w:ascii="Times New Roman" w:hAnsi="Times New Roman" w:cs="Times New Roman"/>
          <w:sz w:val="24"/>
          <w:szCs w:val="24"/>
        </w:rPr>
        <w:t xml:space="preserve"> prices will be very high. </w:t>
      </w:r>
      <w:r w:rsidR="009E680E">
        <w:rPr>
          <w:rFonts w:ascii="Times New Roman" w:hAnsi="Times New Roman" w:cs="Times New Roman"/>
          <w:sz w:val="24"/>
          <w:szCs w:val="24"/>
        </w:rPr>
        <w:t xml:space="preserve"> </w:t>
      </w:r>
      <w:r>
        <w:rPr>
          <w:rFonts w:ascii="Times New Roman" w:hAnsi="Times New Roman" w:cs="Times New Roman"/>
          <w:sz w:val="24"/>
          <w:szCs w:val="24"/>
        </w:rPr>
        <w:t xml:space="preserve">Proponents, then, </w:t>
      </w:r>
      <w:r w:rsidR="00880676">
        <w:rPr>
          <w:rFonts w:ascii="Times New Roman" w:hAnsi="Times New Roman" w:cs="Times New Roman"/>
          <w:sz w:val="24"/>
          <w:szCs w:val="24"/>
        </w:rPr>
        <w:t>are essentially</w:t>
      </w:r>
      <w:r>
        <w:rPr>
          <w:rFonts w:ascii="Times New Roman" w:hAnsi="Times New Roman" w:cs="Times New Roman"/>
          <w:sz w:val="24"/>
          <w:szCs w:val="24"/>
        </w:rPr>
        <w:t xml:space="preserve"> compelled to accept a price ceiling to show confidence in their more modest projections.  This will be fine if emissions are heading toward what proponents project.  If they are much higher, though, whether because of higher than expected VMT, lower </w:t>
      </w:r>
      <w:r w:rsidR="0006616F">
        <w:rPr>
          <w:rFonts w:ascii="Times New Roman" w:hAnsi="Times New Roman" w:cs="Times New Roman"/>
          <w:sz w:val="24"/>
          <w:szCs w:val="24"/>
        </w:rPr>
        <w:t xml:space="preserve">than anticipated </w:t>
      </w:r>
      <w:r w:rsidR="009E680E">
        <w:rPr>
          <w:rFonts w:ascii="Times New Roman" w:hAnsi="Times New Roman" w:cs="Times New Roman"/>
          <w:sz w:val="24"/>
          <w:szCs w:val="24"/>
        </w:rPr>
        <w:t xml:space="preserve">fleetwide </w:t>
      </w:r>
      <w:r>
        <w:rPr>
          <w:rFonts w:ascii="Times New Roman" w:hAnsi="Times New Roman" w:cs="Times New Roman"/>
          <w:sz w:val="24"/>
          <w:szCs w:val="24"/>
        </w:rPr>
        <w:t>fuel economy, or a combination of the two (</w:t>
      </w:r>
      <w:r w:rsidR="002F01E2">
        <w:rPr>
          <w:rFonts w:ascii="Times New Roman" w:hAnsi="Times New Roman" w:cs="Times New Roman"/>
          <w:sz w:val="24"/>
          <w:szCs w:val="24"/>
        </w:rPr>
        <w:t xml:space="preserve">most </w:t>
      </w:r>
      <w:r>
        <w:rPr>
          <w:rFonts w:ascii="Times New Roman" w:hAnsi="Times New Roman" w:cs="Times New Roman"/>
          <w:sz w:val="24"/>
          <w:szCs w:val="24"/>
        </w:rPr>
        <w:t xml:space="preserve">likely caused </w:t>
      </w:r>
      <w:r w:rsidR="00D442E9">
        <w:rPr>
          <w:rFonts w:ascii="Times New Roman" w:hAnsi="Times New Roman" w:cs="Times New Roman"/>
          <w:sz w:val="24"/>
          <w:szCs w:val="24"/>
        </w:rPr>
        <w:t xml:space="preserve">at least in part </w:t>
      </w:r>
      <w:r>
        <w:rPr>
          <w:rFonts w:ascii="Times New Roman" w:hAnsi="Times New Roman" w:cs="Times New Roman"/>
          <w:sz w:val="24"/>
          <w:szCs w:val="24"/>
        </w:rPr>
        <w:t xml:space="preserve">by </w:t>
      </w:r>
      <w:r w:rsidR="00767A26">
        <w:rPr>
          <w:rFonts w:ascii="Times New Roman" w:hAnsi="Times New Roman" w:cs="Times New Roman"/>
          <w:sz w:val="24"/>
          <w:szCs w:val="24"/>
        </w:rPr>
        <w:t xml:space="preserve">fuel prices </w:t>
      </w:r>
      <w:r>
        <w:rPr>
          <w:rFonts w:ascii="Times New Roman" w:hAnsi="Times New Roman" w:cs="Times New Roman"/>
          <w:sz w:val="24"/>
          <w:szCs w:val="24"/>
        </w:rPr>
        <w:t xml:space="preserve">lower than </w:t>
      </w:r>
      <w:r w:rsidR="00767A26">
        <w:rPr>
          <w:rFonts w:ascii="Times New Roman" w:hAnsi="Times New Roman" w:cs="Times New Roman"/>
          <w:sz w:val="24"/>
          <w:szCs w:val="24"/>
        </w:rPr>
        <w:t>projected by the T</w:t>
      </w:r>
      <w:r w:rsidR="00880676">
        <w:rPr>
          <w:rFonts w:ascii="Times New Roman" w:hAnsi="Times New Roman" w:cs="Times New Roman"/>
          <w:sz w:val="24"/>
          <w:szCs w:val="24"/>
        </w:rPr>
        <w:t xml:space="preserve">CI </w:t>
      </w:r>
      <w:r>
        <w:rPr>
          <w:rFonts w:ascii="Times New Roman" w:hAnsi="Times New Roman" w:cs="Times New Roman"/>
          <w:sz w:val="24"/>
          <w:szCs w:val="24"/>
        </w:rPr>
        <w:t xml:space="preserve">Reference Case) and the price </w:t>
      </w:r>
      <w:r w:rsidR="00D442E9">
        <w:rPr>
          <w:rFonts w:ascii="Times New Roman" w:hAnsi="Times New Roman" w:cs="Times New Roman"/>
          <w:sz w:val="24"/>
          <w:szCs w:val="24"/>
        </w:rPr>
        <w:t>ceiling</w:t>
      </w:r>
      <w:r>
        <w:rPr>
          <w:rFonts w:ascii="Times New Roman" w:hAnsi="Times New Roman" w:cs="Times New Roman"/>
          <w:sz w:val="24"/>
          <w:szCs w:val="24"/>
        </w:rPr>
        <w:t xml:space="preserve"> kicks in, </w:t>
      </w:r>
      <w:r w:rsidR="00F102D9">
        <w:rPr>
          <w:rFonts w:ascii="Times New Roman" w:hAnsi="Times New Roman" w:cs="Times New Roman"/>
          <w:sz w:val="24"/>
          <w:szCs w:val="24"/>
        </w:rPr>
        <w:t xml:space="preserve">the results could be problematic.  </w:t>
      </w:r>
    </w:p>
    <w:p w14:paraId="36259B5E" w14:textId="0667842E" w:rsidR="00D46B4B" w:rsidRDefault="009E680E" w:rsidP="0006616F">
      <w:pPr>
        <w:rPr>
          <w:rFonts w:ascii="Times New Roman" w:hAnsi="Times New Roman" w:cs="Times New Roman"/>
          <w:sz w:val="24"/>
          <w:szCs w:val="24"/>
        </w:rPr>
      </w:pPr>
      <w:r>
        <w:rPr>
          <w:rFonts w:ascii="Times New Roman" w:hAnsi="Times New Roman" w:cs="Times New Roman"/>
          <w:sz w:val="24"/>
          <w:szCs w:val="24"/>
        </w:rPr>
        <w:t xml:space="preserve">If the price cap is </w:t>
      </w:r>
      <w:r w:rsidR="00F078D8">
        <w:rPr>
          <w:rFonts w:ascii="Times New Roman" w:hAnsi="Times New Roman" w:cs="Times New Roman"/>
          <w:sz w:val="24"/>
          <w:szCs w:val="24"/>
        </w:rPr>
        <w:t xml:space="preserve">designed to be </w:t>
      </w:r>
      <w:r>
        <w:rPr>
          <w:rFonts w:ascii="Times New Roman" w:hAnsi="Times New Roman" w:cs="Times New Roman"/>
          <w:sz w:val="24"/>
          <w:szCs w:val="24"/>
        </w:rPr>
        <w:t>“hard</w:t>
      </w:r>
      <w:r w:rsidR="00F078D8">
        <w:rPr>
          <w:rFonts w:ascii="Times New Roman" w:hAnsi="Times New Roman" w:cs="Times New Roman"/>
          <w:sz w:val="24"/>
          <w:szCs w:val="24"/>
        </w:rPr>
        <w:t>,</w:t>
      </w:r>
      <w:r>
        <w:rPr>
          <w:rFonts w:ascii="Times New Roman" w:hAnsi="Times New Roman" w:cs="Times New Roman"/>
          <w:sz w:val="24"/>
          <w:szCs w:val="24"/>
        </w:rPr>
        <w:t xml:space="preserve">” meaning that allowance prices are capped regardless of whether a sufficient number of CCR allowance permits </w:t>
      </w:r>
      <w:r w:rsidR="00F078D8">
        <w:rPr>
          <w:rFonts w:ascii="Times New Roman" w:hAnsi="Times New Roman" w:cs="Times New Roman"/>
          <w:sz w:val="24"/>
          <w:szCs w:val="24"/>
        </w:rPr>
        <w:t xml:space="preserve">had been </w:t>
      </w:r>
      <w:r>
        <w:rPr>
          <w:rFonts w:ascii="Times New Roman" w:hAnsi="Times New Roman" w:cs="Times New Roman"/>
          <w:sz w:val="24"/>
          <w:szCs w:val="24"/>
        </w:rPr>
        <w:t>set-aside to meet demand at the capped price</w:t>
      </w:r>
      <w:r w:rsidR="00F078D8">
        <w:rPr>
          <w:rFonts w:ascii="Times New Roman" w:hAnsi="Times New Roman" w:cs="Times New Roman"/>
          <w:sz w:val="24"/>
          <w:szCs w:val="24"/>
        </w:rPr>
        <w:t xml:space="preserve">, then more </w:t>
      </w:r>
      <w:r w:rsidR="00F078D8">
        <w:rPr>
          <w:rFonts w:ascii="Times New Roman" w:hAnsi="Times New Roman" w:cs="Times New Roman"/>
          <w:sz w:val="24"/>
          <w:szCs w:val="24"/>
        </w:rPr>
        <w:t xml:space="preserve">permits will have to be released to accommodate </w:t>
      </w:r>
      <w:r w:rsidR="00F078D8">
        <w:rPr>
          <w:rFonts w:ascii="Times New Roman" w:hAnsi="Times New Roman" w:cs="Times New Roman"/>
          <w:sz w:val="24"/>
          <w:szCs w:val="24"/>
        </w:rPr>
        <w:t xml:space="preserve">demand.  (If both quantity and price were to be capped, </w:t>
      </w:r>
      <w:r w:rsidR="00F078D8">
        <w:rPr>
          <w:rFonts w:ascii="Times New Roman" w:hAnsi="Times New Roman" w:cs="Times New Roman"/>
          <w:sz w:val="24"/>
          <w:szCs w:val="24"/>
        </w:rPr>
        <w:t xml:space="preserve">a secondary market would </w:t>
      </w:r>
      <w:r w:rsidR="00F078D8">
        <w:rPr>
          <w:rFonts w:ascii="Times New Roman" w:hAnsi="Times New Roman" w:cs="Times New Roman"/>
          <w:sz w:val="24"/>
          <w:szCs w:val="24"/>
        </w:rPr>
        <w:t xml:space="preserve">likely </w:t>
      </w:r>
      <w:r w:rsidR="00F078D8">
        <w:rPr>
          <w:rFonts w:ascii="Times New Roman" w:hAnsi="Times New Roman" w:cs="Times New Roman"/>
          <w:sz w:val="24"/>
          <w:szCs w:val="24"/>
        </w:rPr>
        <w:t xml:space="preserve">emerge, thereby </w:t>
      </w:r>
      <w:r w:rsidR="00767A26">
        <w:rPr>
          <w:rFonts w:ascii="Times New Roman" w:hAnsi="Times New Roman" w:cs="Times New Roman"/>
          <w:sz w:val="24"/>
          <w:szCs w:val="24"/>
        </w:rPr>
        <w:t xml:space="preserve">then </w:t>
      </w:r>
      <w:r w:rsidR="00F078D8">
        <w:rPr>
          <w:rFonts w:ascii="Times New Roman" w:hAnsi="Times New Roman" w:cs="Times New Roman"/>
          <w:sz w:val="24"/>
          <w:szCs w:val="24"/>
        </w:rPr>
        <w:t>effectively blowing the price cap</w:t>
      </w:r>
      <w:r w:rsidR="00F078D8">
        <w:rPr>
          <w:rFonts w:ascii="Times New Roman" w:hAnsi="Times New Roman" w:cs="Times New Roman"/>
          <w:sz w:val="24"/>
          <w:szCs w:val="24"/>
        </w:rPr>
        <w:t>.)</w:t>
      </w:r>
      <w:r>
        <w:rPr>
          <w:rFonts w:ascii="Times New Roman" w:hAnsi="Times New Roman" w:cs="Times New Roman"/>
          <w:sz w:val="24"/>
          <w:szCs w:val="24"/>
        </w:rPr>
        <w:t xml:space="preserve"> </w:t>
      </w:r>
    </w:p>
    <w:p w14:paraId="6973700D" w14:textId="6BDEF5DA" w:rsidR="00ED2B01" w:rsidRDefault="00581F0C" w:rsidP="00D46B4B">
      <w:pPr>
        <w:rPr>
          <w:rFonts w:ascii="Times New Roman" w:hAnsi="Times New Roman" w:cs="Times New Roman"/>
          <w:sz w:val="24"/>
          <w:szCs w:val="24"/>
        </w:rPr>
      </w:pPr>
      <w:r>
        <w:rPr>
          <w:rFonts w:ascii="Times New Roman" w:hAnsi="Times New Roman" w:cs="Times New Roman"/>
          <w:sz w:val="24"/>
          <w:szCs w:val="24"/>
        </w:rPr>
        <w:t xml:space="preserve">The </w:t>
      </w:r>
      <w:r w:rsidR="002F01E2">
        <w:rPr>
          <w:rFonts w:ascii="Times New Roman" w:hAnsi="Times New Roman" w:cs="Times New Roman"/>
          <w:sz w:val="24"/>
          <w:szCs w:val="24"/>
        </w:rPr>
        <w:t xml:space="preserve">substantial </w:t>
      </w:r>
      <w:r>
        <w:rPr>
          <w:rFonts w:ascii="Times New Roman" w:hAnsi="Times New Roman" w:cs="Times New Roman"/>
          <w:sz w:val="24"/>
          <w:szCs w:val="24"/>
        </w:rPr>
        <w:t xml:space="preserve">risk of a CCR failure caused by low fuel prices is easily mitigated by modifying the program design to reflect that public concerns about permit prices will be low when fuel prices are low, since people care a lot more about how much they have to pay </w:t>
      </w:r>
      <w:r w:rsidR="00767A26">
        <w:rPr>
          <w:rFonts w:ascii="Times New Roman" w:hAnsi="Times New Roman" w:cs="Times New Roman"/>
          <w:sz w:val="24"/>
          <w:szCs w:val="24"/>
        </w:rPr>
        <w:t xml:space="preserve">in total </w:t>
      </w:r>
      <w:r>
        <w:rPr>
          <w:rFonts w:ascii="Times New Roman" w:hAnsi="Times New Roman" w:cs="Times New Roman"/>
          <w:sz w:val="24"/>
          <w:szCs w:val="24"/>
        </w:rPr>
        <w:t xml:space="preserve">for gasoline than how </w:t>
      </w:r>
      <w:r w:rsidR="002F01E2">
        <w:rPr>
          <w:rFonts w:ascii="Times New Roman" w:hAnsi="Times New Roman" w:cs="Times New Roman"/>
          <w:sz w:val="24"/>
          <w:szCs w:val="24"/>
        </w:rPr>
        <w:t xml:space="preserve">much of </w:t>
      </w:r>
      <w:r>
        <w:rPr>
          <w:rFonts w:ascii="Times New Roman" w:hAnsi="Times New Roman" w:cs="Times New Roman"/>
          <w:sz w:val="24"/>
          <w:szCs w:val="24"/>
        </w:rPr>
        <w:t xml:space="preserve">their </w:t>
      </w:r>
      <w:r w:rsidR="00FE47A3">
        <w:rPr>
          <w:rFonts w:ascii="Times New Roman" w:hAnsi="Times New Roman" w:cs="Times New Roman"/>
          <w:sz w:val="24"/>
          <w:szCs w:val="24"/>
        </w:rPr>
        <w:t xml:space="preserve">purchase price </w:t>
      </w:r>
      <w:r>
        <w:rPr>
          <w:rFonts w:ascii="Times New Roman" w:hAnsi="Times New Roman" w:cs="Times New Roman"/>
          <w:sz w:val="24"/>
          <w:szCs w:val="24"/>
        </w:rPr>
        <w:t xml:space="preserve">is </w:t>
      </w:r>
      <w:r w:rsidR="002F01E2">
        <w:rPr>
          <w:rFonts w:ascii="Times New Roman" w:hAnsi="Times New Roman" w:cs="Times New Roman"/>
          <w:sz w:val="24"/>
          <w:szCs w:val="24"/>
        </w:rPr>
        <w:t>going to</w:t>
      </w:r>
      <w:r>
        <w:rPr>
          <w:rFonts w:ascii="Times New Roman" w:hAnsi="Times New Roman" w:cs="Times New Roman"/>
          <w:sz w:val="24"/>
          <w:szCs w:val="24"/>
        </w:rPr>
        <w:t xml:space="preserve"> the fuel supplier </w:t>
      </w:r>
      <w:r w:rsidR="002F01E2">
        <w:rPr>
          <w:rFonts w:ascii="Times New Roman" w:hAnsi="Times New Roman" w:cs="Times New Roman"/>
          <w:sz w:val="24"/>
          <w:szCs w:val="24"/>
        </w:rPr>
        <w:t>versus to</w:t>
      </w:r>
      <w:r>
        <w:rPr>
          <w:rFonts w:ascii="Times New Roman" w:hAnsi="Times New Roman" w:cs="Times New Roman"/>
          <w:sz w:val="24"/>
          <w:szCs w:val="24"/>
        </w:rPr>
        <w:t xml:space="preserve"> the government (including </w:t>
      </w:r>
      <w:r w:rsidR="00FE47A3">
        <w:rPr>
          <w:rFonts w:ascii="Times New Roman" w:hAnsi="Times New Roman" w:cs="Times New Roman"/>
          <w:sz w:val="24"/>
          <w:szCs w:val="24"/>
        </w:rPr>
        <w:t>though supplier purchases of required allowances</w:t>
      </w:r>
      <w:r>
        <w:rPr>
          <w:rFonts w:ascii="Times New Roman" w:hAnsi="Times New Roman" w:cs="Times New Roman"/>
          <w:sz w:val="24"/>
          <w:szCs w:val="24"/>
        </w:rPr>
        <w:t>).</w:t>
      </w:r>
      <w:r w:rsidR="00BA23E9">
        <w:rPr>
          <w:rFonts w:ascii="Times New Roman" w:hAnsi="Times New Roman" w:cs="Times New Roman"/>
          <w:sz w:val="24"/>
          <w:szCs w:val="24"/>
        </w:rPr>
        <w:t xml:space="preserve">  When fuel prices </w:t>
      </w:r>
      <w:r w:rsidR="00FE47A3">
        <w:rPr>
          <w:rFonts w:ascii="Times New Roman" w:hAnsi="Times New Roman" w:cs="Times New Roman"/>
          <w:sz w:val="24"/>
          <w:szCs w:val="24"/>
        </w:rPr>
        <w:t xml:space="preserve">(excluding required allowance purchases) </w:t>
      </w:r>
      <w:r w:rsidR="00BA23E9">
        <w:rPr>
          <w:rFonts w:ascii="Times New Roman" w:hAnsi="Times New Roman" w:cs="Times New Roman"/>
          <w:sz w:val="24"/>
          <w:szCs w:val="24"/>
        </w:rPr>
        <w:t>and allowance prices are together less than levels approaching historic fuel price highs, the CCR should not kick in regardless of how high allowance prices may climb.</w:t>
      </w:r>
      <w:r>
        <w:rPr>
          <w:rFonts w:ascii="Times New Roman" w:hAnsi="Times New Roman" w:cs="Times New Roman"/>
          <w:sz w:val="24"/>
          <w:szCs w:val="24"/>
        </w:rPr>
        <w:t xml:space="preserve">  </w:t>
      </w:r>
    </w:p>
    <w:p w14:paraId="41C0EE0A" w14:textId="46C1B806" w:rsidR="00A74288" w:rsidRDefault="00A74288" w:rsidP="00C32F94">
      <w:pPr>
        <w:rPr>
          <w:rFonts w:ascii="Times New Roman" w:hAnsi="Times New Roman" w:cs="Times New Roman"/>
          <w:sz w:val="24"/>
          <w:szCs w:val="24"/>
        </w:rPr>
      </w:pPr>
    </w:p>
    <w:p w14:paraId="4FA0E528" w14:textId="77777777" w:rsidR="006428B4" w:rsidRDefault="006428B4">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4CB8D274" w14:textId="22B399FF" w:rsidR="006428B4" w:rsidRPr="00D66F01" w:rsidRDefault="006428B4" w:rsidP="00D66F01">
      <w:pPr>
        <w:jc w:val="center"/>
        <w:rPr>
          <w:rFonts w:ascii="Times New Roman" w:hAnsi="Times New Roman" w:cs="Times New Roman"/>
          <w:sz w:val="24"/>
          <w:szCs w:val="24"/>
          <w:u w:val="single"/>
        </w:rPr>
      </w:pPr>
      <w:r w:rsidRPr="00D66F01">
        <w:rPr>
          <w:rFonts w:ascii="Times New Roman" w:hAnsi="Times New Roman" w:cs="Times New Roman"/>
          <w:sz w:val="24"/>
          <w:szCs w:val="24"/>
          <w:u w:val="single"/>
        </w:rPr>
        <w:lastRenderedPageBreak/>
        <w:t>Appendix</w:t>
      </w:r>
      <w:r w:rsidR="00D66F01">
        <w:rPr>
          <w:rFonts w:ascii="Times New Roman" w:hAnsi="Times New Roman" w:cs="Times New Roman"/>
          <w:sz w:val="24"/>
          <w:szCs w:val="24"/>
          <w:u w:val="single"/>
        </w:rPr>
        <w:t>:</w:t>
      </w:r>
    </w:p>
    <w:p w14:paraId="57C02641" w14:textId="5F277EBC" w:rsidR="00114739" w:rsidRDefault="006428B4" w:rsidP="00D66F01">
      <w:pPr>
        <w:jc w:val="center"/>
        <w:rPr>
          <w:rFonts w:ascii="Times New Roman" w:hAnsi="Times New Roman" w:cs="Times New Roman"/>
          <w:sz w:val="24"/>
          <w:szCs w:val="24"/>
          <w:u w:val="single"/>
        </w:rPr>
      </w:pPr>
      <w:r w:rsidRPr="00D66F01">
        <w:rPr>
          <w:rFonts w:ascii="Times New Roman" w:hAnsi="Times New Roman" w:cs="Times New Roman"/>
          <w:sz w:val="24"/>
          <w:szCs w:val="24"/>
          <w:u w:val="single"/>
        </w:rPr>
        <w:t>Details about Transportation Re-pricing:  Modeling, Public Support, and Deployment</w:t>
      </w:r>
    </w:p>
    <w:p w14:paraId="0935EDDB" w14:textId="77777777" w:rsidR="00D66F01" w:rsidRDefault="00D66F01" w:rsidP="00D66F01">
      <w:pPr>
        <w:jc w:val="center"/>
        <w:rPr>
          <w:rFonts w:ascii="Times New Roman" w:hAnsi="Times New Roman" w:cs="Times New Roman"/>
          <w:sz w:val="24"/>
          <w:szCs w:val="24"/>
        </w:rPr>
      </w:pPr>
    </w:p>
    <w:p w14:paraId="2C84A6ED" w14:textId="1730EAA1" w:rsidR="00822394" w:rsidRPr="00C32F94" w:rsidRDefault="004A0EBF" w:rsidP="00C32F94">
      <w:pPr>
        <w:rPr>
          <w:rFonts w:ascii="Times New Roman" w:hAnsi="Times New Roman" w:cs="Times New Roman"/>
          <w:sz w:val="24"/>
          <w:szCs w:val="24"/>
        </w:rPr>
      </w:pPr>
      <w:r w:rsidRPr="00C32F94">
        <w:rPr>
          <w:rFonts w:ascii="Times New Roman" w:hAnsi="Times New Roman" w:cs="Times New Roman"/>
          <w:sz w:val="24"/>
          <w:szCs w:val="24"/>
        </w:rPr>
        <w:t>Previous research</w:t>
      </w:r>
      <w:r w:rsidR="0049767A" w:rsidRPr="00C32F94">
        <w:rPr>
          <w:rFonts w:ascii="Times New Roman" w:hAnsi="Times New Roman" w:cs="Times New Roman"/>
          <w:sz w:val="24"/>
          <w:szCs w:val="24"/>
        </w:rPr>
        <w:t>, published originally by the National Academy of Sciences, Transportation Research Board</w:t>
      </w:r>
      <w:r w:rsidR="00AF57FD" w:rsidRPr="00C32F94">
        <w:rPr>
          <w:rFonts w:ascii="Times New Roman" w:hAnsi="Times New Roman" w:cs="Times New Roman"/>
          <w:sz w:val="24"/>
          <w:szCs w:val="24"/>
        </w:rPr>
        <w:t xml:space="preserve"> (see:  </w:t>
      </w:r>
      <w:hyperlink r:id="rId9" w:history="1">
        <w:r w:rsidR="00AF57FD" w:rsidRPr="00C32F94">
          <w:rPr>
            <w:rStyle w:val="Hyperlink"/>
            <w:rFonts w:ascii="Times New Roman" w:hAnsi="Times New Roman" w:cs="Times New Roman"/>
            <w:sz w:val="24"/>
            <w:szCs w:val="24"/>
          </w:rPr>
          <w:t>https://journals.sagepub.com/doi/abs/10.3141/2530-14</w:t>
        </w:r>
      </w:hyperlink>
      <w:r w:rsidR="00AF57FD" w:rsidRPr="00C32F94">
        <w:rPr>
          <w:rFonts w:ascii="Times New Roman" w:hAnsi="Times New Roman" w:cs="Times New Roman"/>
          <w:sz w:val="24"/>
          <w:szCs w:val="24"/>
        </w:rPr>
        <w:t>)</w:t>
      </w:r>
      <w:r w:rsidR="0049767A" w:rsidRPr="00C32F94">
        <w:rPr>
          <w:rFonts w:ascii="Times New Roman" w:hAnsi="Times New Roman" w:cs="Times New Roman"/>
          <w:sz w:val="24"/>
          <w:szCs w:val="24"/>
        </w:rPr>
        <w:t>,</w:t>
      </w:r>
      <w:r w:rsidR="00AF57FD" w:rsidRPr="00C32F94">
        <w:rPr>
          <w:rFonts w:ascii="Times New Roman" w:hAnsi="Times New Roman" w:cs="Times New Roman"/>
          <w:sz w:val="24"/>
          <w:szCs w:val="24"/>
        </w:rPr>
        <w:t xml:space="preserve"> </w:t>
      </w:r>
      <w:r w:rsidR="00FC313F">
        <w:rPr>
          <w:rFonts w:ascii="Times New Roman" w:hAnsi="Times New Roman" w:cs="Times New Roman"/>
          <w:sz w:val="24"/>
          <w:szCs w:val="24"/>
        </w:rPr>
        <w:t xml:space="preserve">and subsequently expounded </w:t>
      </w:r>
      <w:r w:rsidR="00FC313F" w:rsidRPr="00FC313F">
        <w:rPr>
          <w:rFonts w:ascii="Times New Roman" w:hAnsi="Times New Roman" w:cs="Times New Roman"/>
          <w:sz w:val="24"/>
          <w:szCs w:val="24"/>
        </w:rPr>
        <w:t xml:space="preserve">upon (see:  </w:t>
      </w:r>
      <w:hyperlink r:id="rId10" w:history="1">
        <w:r w:rsidR="00FC313F" w:rsidRPr="00FC313F">
          <w:rPr>
            <w:rStyle w:val="Hyperlink"/>
            <w:rFonts w:ascii="Times New Roman" w:hAnsi="Times New Roman" w:cs="Times New Roman"/>
            <w:sz w:val="24"/>
            <w:szCs w:val="24"/>
          </w:rPr>
          <w:t>www.vtpi.org/G&amp;E_GHG.pdf</w:t>
        </w:r>
      </w:hyperlink>
      <w:r w:rsidR="00FC313F" w:rsidRPr="00FC313F">
        <w:rPr>
          <w:rFonts w:ascii="Times New Roman" w:hAnsi="Times New Roman" w:cs="Times New Roman"/>
          <w:sz w:val="24"/>
          <w:szCs w:val="24"/>
        </w:rPr>
        <w:t>)</w:t>
      </w:r>
      <w:r w:rsidR="00FC313F">
        <w:rPr>
          <w:rFonts w:ascii="Times New Roman" w:hAnsi="Times New Roman" w:cs="Times New Roman"/>
          <w:sz w:val="24"/>
          <w:szCs w:val="24"/>
        </w:rPr>
        <w:t>,</w:t>
      </w:r>
      <w:r w:rsidR="00FC313F" w:rsidRPr="00FC313F">
        <w:rPr>
          <w:rFonts w:ascii="Times New Roman" w:hAnsi="Times New Roman" w:cs="Times New Roman"/>
          <w:sz w:val="24"/>
          <w:szCs w:val="24"/>
        </w:rPr>
        <w:t xml:space="preserve"> </w:t>
      </w:r>
      <w:r w:rsidRPr="00FC313F">
        <w:rPr>
          <w:rFonts w:ascii="Times New Roman" w:hAnsi="Times New Roman" w:cs="Times New Roman"/>
          <w:sz w:val="24"/>
          <w:szCs w:val="24"/>
        </w:rPr>
        <w:t>demonstrated that re</w:t>
      </w:r>
      <w:r w:rsidR="00876FF0" w:rsidRPr="00FC313F">
        <w:rPr>
          <w:rFonts w:ascii="Times New Roman" w:hAnsi="Times New Roman" w:cs="Times New Roman"/>
          <w:sz w:val="24"/>
          <w:szCs w:val="24"/>
        </w:rPr>
        <w:t>-</w:t>
      </w:r>
      <w:r w:rsidRPr="00FC313F">
        <w:rPr>
          <w:rFonts w:ascii="Times New Roman" w:hAnsi="Times New Roman" w:cs="Times New Roman"/>
          <w:sz w:val="24"/>
          <w:szCs w:val="24"/>
        </w:rPr>
        <w:t>pricing transportation by converting fixed and hidden transport</w:t>
      </w:r>
      <w:r w:rsidRPr="00C32F94">
        <w:rPr>
          <w:rFonts w:ascii="Times New Roman" w:hAnsi="Times New Roman" w:cs="Times New Roman"/>
          <w:sz w:val="24"/>
          <w:szCs w:val="24"/>
        </w:rPr>
        <w:t xml:space="preserve"> costs to variable charges </w:t>
      </w:r>
      <w:r w:rsidR="00183DC5" w:rsidRPr="00C32F94">
        <w:rPr>
          <w:rFonts w:ascii="Times New Roman" w:hAnsi="Times New Roman" w:cs="Times New Roman"/>
          <w:sz w:val="24"/>
          <w:szCs w:val="24"/>
        </w:rPr>
        <w:t xml:space="preserve">and </w:t>
      </w:r>
      <w:r w:rsidR="00B825F2">
        <w:rPr>
          <w:rFonts w:ascii="Times New Roman" w:hAnsi="Times New Roman" w:cs="Times New Roman"/>
          <w:sz w:val="24"/>
          <w:szCs w:val="24"/>
        </w:rPr>
        <w:t xml:space="preserve">rebates </w:t>
      </w:r>
      <w:r w:rsidR="009A0A4D" w:rsidRPr="00C32F94">
        <w:rPr>
          <w:rFonts w:ascii="Times New Roman" w:hAnsi="Times New Roman" w:cs="Times New Roman"/>
          <w:sz w:val="24"/>
          <w:szCs w:val="24"/>
        </w:rPr>
        <w:t xml:space="preserve">would very significantly </w:t>
      </w:r>
      <w:r w:rsidRPr="00C32F94">
        <w:rPr>
          <w:rFonts w:ascii="Times New Roman" w:hAnsi="Times New Roman" w:cs="Times New Roman"/>
          <w:sz w:val="24"/>
          <w:szCs w:val="24"/>
        </w:rPr>
        <w:t xml:space="preserve">curtail </w:t>
      </w:r>
      <w:r w:rsidR="009A0A4D" w:rsidRPr="00C32F94">
        <w:rPr>
          <w:rFonts w:ascii="Times New Roman" w:hAnsi="Times New Roman" w:cs="Times New Roman"/>
          <w:sz w:val="24"/>
          <w:szCs w:val="24"/>
        </w:rPr>
        <w:t xml:space="preserve">transportation-related </w:t>
      </w:r>
      <w:r w:rsidR="00A32BD6" w:rsidRPr="00C32F94">
        <w:rPr>
          <w:rFonts w:ascii="Times New Roman" w:hAnsi="Times New Roman" w:cs="Times New Roman"/>
          <w:sz w:val="24"/>
          <w:szCs w:val="24"/>
        </w:rPr>
        <w:t>Greenhouse Gas (</w:t>
      </w:r>
      <w:r w:rsidRPr="00C32F94">
        <w:rPr>
          <w:rFonts w:ascii="Times New Roman" w:hAnsi="Times New Roman" w:cs="Times New Roman"/>
          <w:sz w:val="24"/>
          <w:szCs w:val="24"/>
        </w:rPr>
        <w:t>GHG</w:t>
      </w:r>
      <w:r w:rsidR="00A32BD6" w:rsidRPr="00C32F94">
        <w:rPr>
          <w:rFonts w:ascii="Times New Roman" w:hAnsi="Times New Roman" w:cs="Times New Roman"/>
          <w:sz w:val="24"/>
          <w:szCs w:val="24"/>
        </w:rPr>
        <w:t>)</w:t>
      </w:r>
      <w:r w:rsidRPr="00C32F94">
        <w:rPr>
          <w:rFonts w:ascii="Times New Roman" w:hAnsi="Times New Roman" w:cs="Times New Roman"/>
          <w:sz w:val="24"/>
          <w:szCs w:val="24"/>
        </w:rPr>
        <w:t xml:space="preserve"> emissions</w:t>
      </w:r>
      <w:r w:rsidR="0054070C">
        <w:rPr>
          <w:rFonts w:ascii="Times New Roman" w:hAnsi="Times New Roman" w:cs="Times New Roman"/>
          <w:sz w:val="24"/>
          <w:szCs w:val="24"/>
        </w:rPr>
        <w:t xml:space="preserve">.  It was further shown that such emissions reductions would be </w:t>
      </w:r>
      <w:r w:rsidR="009A0A4D" w:rsidRPr="00C32F94">
        <w:rPr>
          <w:rFonts w:ascii="Times New Roman" w:hAnsi="Times New Roman" w:cs="Times New Roman"/>
          <w:sz w:val="24"/>
          <w:szCs w:val="24"/>
        </w:rPr>
        <w:t>substantially more than</w:t>
      </w:r>
      <w:r w:rsidRPr="00C32F94">
        <w:rPr>
          <w:rFonts w:ascii="Times New Roman" w:hAnsi="Times New Roman" w:cs="Times New Roman"/>
          <w:sz w:val="24"/>
          <w:szCs w:val="24"/>
        </w:rPr>
        <w:t xml:space="preserve"> </w:t>
      </w:r>
      <w:r w:rsidR="0054070C">
        <w:rPr>
          <w:rFonts w:ascii="Times New Roman" w:hAnsi="Times New Roman" w:cs="Times New Roman"/>
          <w:sz w:val="24"/>
          <w:szCs w:val="24"/>
        </w:rPr>
        <w:t xml:space="preserve">from </w:t>
      </w:r>
      <w:r w:rsidRPr="00C32F94">
        <w:rPr>
          <w:rFonts w:ascii="Times New Roman" w:hAnsi="Times New Roman" w:cs="Times New Roman"/>
          <w:sz w:val="24"/>
          <w:szCs w:val="24"/>
        </w:rPr>
        <w:t>imposing carbon pricing</w:t>
      </w:r>
      <w:r w:rsidR="00822394" w:rsidRPr="00C32F94">
        <w:rPr>
          <w:rFonts w:ascii="Times New Roman" w:hAnsi="Times New Roman" w:cs="Times New Roman"/>
          <w:sz w:val="24"/>
          <w:szCs w:val="24"/>
        </w:rPr>
        <w:t xml:space="preserve"> </w:t>
      </w:r>
      <w:r w:rsidR="00A139F7">
        <w:rPr>
          <w:rFonts w:ascii="Times New Roman" w:hAnsi="Times New Roman" w:cs="Times New Roman"/>
          <w:sz w:val="24"/>
          <w:szCs w:val="24"/>
        </w:rPr>
        <w:t xml:space="preserve">on transportation fuels </w:t>
      </w:r>
      <w:r w:rsidR="00822394" w:rsidRPr="00C32F94">
        <w:rPr>
          <w:rFonts w:ascii="Times New Roman" w:hAnsi="Times New Roman" w:cs="Times New Roman"/>
          <w:sz w:val="24"/>
          <w:szCs w:val="24"/>
        </w:rPr>
        <w:t xml:space="preserve">at the highest levels that may be </w:t>
      </w:r>
      <w:r w:rsidR="00E91612">
        <w:rPr>
          <w:rFonts w:ascii="Times New Roman" w:hAnsi="Times New Roman" w:cs="Times New Roman"/>
          <w:sz w:val="24"/>
          <w:szCs w:val="24"/>
        </w:rPr>
        <w:t>politically</w:t>
      </w:r>
      <w:r w:rsidR="00822394" w:rsidRPr="00C32F94">
        <w:rPr>
          <w:rFonts w:ascii="Times New Roman" w:hAnsi="Times New Roman" w:cs="Times New Roman"/>
          <w:sz w:val="24"/>
          <w:szCs w:val="24"/>
        </w:rPr>
        <w:t xml:space="preserve"> plausible</w:t>
      </w:r>
      <w:r w:rsidRPr="00C32F94">
        <w:rPr>
          <w:rFonts w:ascii="Times New Roman" w:hAnsi="Times New Roman" w:cs="Times New Roman"/>
          <w:sz w:val="24"/>
          <w:szCs w:val="24"/>
        </w:rPr>
        <w:t xml:space="preserve">.  </w:t>
      </w:r>
      <w:r w:rsidR="0054070C">
        <w:rPr>
          <w:rFonts w:ascii="Times New Roman" w:hAnsi="Times New Roman" w:cs="Times New Roman"/>
          <w:sz w:val="24"/>
          <w:szCs w:val="24"/>
        </w:rPr>
        <w:t>Transportation re-pricing</w:t>
      </w:r>
      <w:r w:rsidR="00B825F2" w:rsidRPr="00C32F94">
        <w:rPr>
          <w:rFonts w:ascii="Times New Roman" w:hAnsi="Times New Roman" w:cs="Times New Roman"/>
          <w:sz w:val="24"/>
          <w:szCs w:val="24"/>
        </w:rPr>
        <w:t xml:space="preserve"> </w:t>
      </w:r>
      <w:r w:rsidR="00B825F2">
        <w:rPr>
          <w:rFonts w:ascii="Times New Roman" w:hAnsi="Times New Roman" w:cs="Times New Roman"/>
          <w:sz w:val="24"/>
          <w:szCs w:val="24"/>
        </w:rPr>
        <w:t>is the rare pricing policy that offers</w:t>
      </w:r>
      <w:r w:rsidR="00B825F2" w:rsidRPr="00C32F94">
        <w:rPr>
          <w:rFonts w:ascii="Times New Roman" w:hAnsi="Times New Roman" w:cs="Times New Roman"/>
          <w:sz w:val="24"/>
          <w:szCs w:val="24"/>
        </w:rPr>
        <w:t xml:space="preserve"> </w:t>
      </w:r>
      <w:r w:rsidR="00B825F2">
        <w:rPr>
          <w:rFonts w:ascii="Times New Roman" w:hAnsi="Times New Roman" w:cs="Times New Roman"/>
          <w:sz w:val="24"/>
          <w:szCs w:val="24"/>
        </w:rPr>
        <w:t xml:space="preserve">people the </w:t>
      </w:r>
      <w:r w:rsidR="00B825F2" w:rsidRPr="00C32F94">
        <w:rPr>
          <w:rFonts w:ascii="Times New Roman" w:hAnsi="Times New Roman" w:cs="Times New Roman"/>
          <w:sz w:val="24"/>
          <w:szCs w:val="24"/>
        </w:rPr>
        <w:t>opportunit</w:t>
      </w:r>
      <w:r w:rsidR="00B825F2">
        <w:rPr>
          <w:rFonts w:ascii="Times New Roman" w:hAnsi="Times New Roman" w:cs="Times New Roman"/>
          <w:sz w:val="24"/>
          <w:szCs w:val="24"/>
        </w:rPr>
        <w:t>y</w:t>
      </w:r>
      <w:r w:rsidR="00B825F2" w:rsidRPr="00C32F94">
        <w:rPr>
          <w:rFonts w:ascii="Times New Roman" w:hAnsi="Times New Roman" w:cs="Times New Roman"/>
          <w:sz w:val="24"/>
          <w:szCs w:val="24"/>
        </w:rPr>
        <w:t xml:space="preserve"> to save money by driving less and forgoing a workplace parking benefit, </w:t>
      </w:r>
      <w:r w:rsidR="00B825F2" w:rsidRPr="00C32F94">
        <w:rPr>
          <w:rStyle w:val="Hyperlink"/>
          <w:rFonts w:ascii="Times New Roman" w:hAnsi="Times New Roman" w:cs="Times New Roman"/>
          <w:color w:val="000000"/>
          <w:sz w:val="24"/>
          <w:szCs w:val="24"/>
          <w:u w:val="none"/>
        </w:rPr>
        <w:t xml:space="preserve">and typically not costing </w:t>
      </w:r>
      <w:r w:rsidR="00B825F2">
        <w:rPr>
          <w:rStyle w:val="Hyperlink"/>
          <w:rFonts w:ascii="Times New Roman" w:hAnsi="Times New Roman" w:cs="Times New Roman"/>
          <w:color w:val="000000"/>
          <w:sz w:val="24"/>
          <w:szCs w:val="24"/>
          <w:u w:val="none"/>
        </w:rPr>
        <w:t>them</w:t>
      </w:r>
      <w:r w:rsidR="00B825F2" w:rsidRPr="00C32F94">
        <w:rPr>
          <w:rStyle w:val="Hyperlink"/>
          <w:rFonts w:ascii="Times New Roman" w:hAnsi="Times New Roman" w:cs="Times New Roman"/>
          <w:color w:val="000000"/>
          <w:sz w:val="24"/>
          <w:szCs w:val="24"/>
          <w:u w:val="none"/>
        </w:rPr>
        <w:t xml:space="preserve"> more money if they choose to continue their current levels of driving</w:t>
      </w:r>
      <w:r w:rsidR="00C35F62">
        <w:rPr>
          <w:rFonts w:ascii="Times New Roman" w:hAnsi="Times New Roman" w:cs="Times New Roman"/>
          <w:sz w:val="24"/>
          <w:szCs w:val="24"/>
        </w:rPr>
        <w:t>.</w:t>
      </w:r>
    </w:p>
    <w:p w14:paraId="3A706942" w14:textId="3B57F73F" w:rsidR="00D00D22" w:rsidRPr="00C32F94" w:rsidRDefault="007675C7" w:rsidP="00C32F94">
      <w:pPr>
        <w:rPr>
          <w:rFonts w:ascii="Times New Roman" w:hAnsi="Times New Roman" w:cs="Times New Roman"/>
          <w:sz w:val="24"/>
          <w:szCs w:val="24"/>
        </w:rPr>
      </w:pPr>
      <w:r>
        <w:rPr>
          <w:rFonts w:ascii="Times New Roman" w:hAnsi="Times New Roman" w:cs="Times New Roman"/>
          <w:sz w:val="24"/>
          <w:szCs w:val="24"/>
        </w:rPr>
        <w:t>In research supporting this approach (</w:t>
      </w:r>
      <w:r w:rsidR="004B17CF">
        <w:rPr>
          <w:rFonts w:ascii="Times New Roman" w:hAnsi="Times New Roman" w:cs="Times New Roman"/>
          <w:sz w:val="24"/>
          <w:szCs w:val="24"/>
        </w:rPr>
        <w:t xml:space="preserve">conducted nationally, </w:t>
      </w:r>
      <w:r w:rsidR="006354B7">
        <w:rPr>
          <w:rFonts w:ascii="Times New Roman" w:hAnsi="Times New Roman" w:cs="Times New Roman"/>
          <w:sz w:val="24"/>
          <w:szCs w:val="24"/>
        </w:rPr>
        <w:t>with</w:t>
      </w:r>
      <w:r w:rsidR="004B17CF">
        <w:rPr>
          <w:rFonts w:ascii="Times New Roman" w:hAnsi="Times New Roman" w:cs="Times New Roman"/>
          <w:sz w:val="24"/>
          <w:szCs w:val="24"/>
        </w:rPr>
        <w:t xml:space="preserve"> state-by-state results</w:t>
      </w:r>
      <w:r w:rsidR="006354B7">
        <w:rPr>
          <w:rFonts w:ascii="Times New Roman" w:hAnsi="Times New Roman" w:cs="Times New Roman"/>
          <w:sz w:val="24"/>
          <w:szCs w:val="24"/>
        </w:rPr>
        <w:t xml:space="preserve"> reported</w:t>
      </w:r>
      <w:r>
        <w:rPr>
          <w:rFonts w:ascii="Times New Roman" w:hAnsi="Times New Roman" w:cs="Times New Roman"/>
          <w:sz w:val="24"/>
          <w:szCs w:val="24"/>
        </w:rPr>
        <w:t>), t</w:t>
      </w:r>
      <w:r w:rsidR="00822394" w:rsidRPr="00C32F94">
        <w:rPr>
          <w:rFonts w:ascii="Times New Roman" w:hAnsi="Times New Roman" w:cs="Times New Roman"/>
          <w:sz w:val="24"/>
          <w:szCs w:val="24"/>
        </w:rPr>
        <w:t xml:space="preserve">he primary policy </w:t>
      </w:r>
      <w:r w:rsidR="007F3C91">
        <w:rPr>
          <w:rFonts w:ascii="Times New Roman" w:hAnsi="Times New Roman" w:cs="Times New Roman"/>
          <w:sz w:val="24"/>
          <w:szCs w:val="24"/>
        </w:rPr>
        <w:t xml:space="preserve">that was initially </w:t>
      </w:r>
      <w:r w:rsidR="00822394" w:rsidRPr="00C32F94">
        <w:rPr>
          <w:rFonts w:ascii="Times New Roman" w:hAnsi="Times New Roman" w:cs="Times New Roman"/>
          <w:sz w:val="24"/>
          <w:szCs w:val="24"/>
        </w:rPr>
        <w:t>explored was a regulatory approach, using the U.S. Environmental Protection Agency</w:t>
      </w:r>
      <w:r w:rsidR="00B81E8C">
        <w:rPr>
          <w:rFonts w:ascii="Times New Roman" w:hAnsi="Times New Roman" w:cs="Times New Roman"/>
          <w:sz w:val="24"/>
          <w:szCs w:val="24"/>
        </w:rPr>
        <w:t xml:space="preserve"> (EPA)</w:t>
      </w:r>
      <w:r w:rsidR="00822394" w:rsidRPr="00C32F94">
        <w:rPr>
          <w:rFonts w:ascii="Times New Roman" w:hAnsi="Times New Roman" w:cs="Times New Roman"/>
          <w:sz w:val="24"/>
          <w:szCs w:val="24"/>
        </w:rPr>
        <w:t xml:space="preserve"> Clean Power Plan under the Obama Administration as a framework, to set </w:t>
      </w:r>
      <w:r>
        <w:rPr>
          <w:rFonts w:ascii="Times New Roman" w:hAnsi="Times New Roman" w:cs="Times New Roman"/>
          <w:sz w:val="24"/>
          <w:szCs w:val="24"/>
        </w:rPr>
        <w:t xml:space="preserve">state-level </w:t>
      </w:r>
      <w:r w:rsidR="00822394" w:rsidRPr="00C32F94">
        <w:rPr>
          <w:rFonts w:ascii="Times New Roman" w:hAnsi="Times New Roman" w:cs="Times New Roman"/>
          <w:sz w:val="24"/>
          <w:szCs w:val="24"/>
        </w:rPr>
        <w:t xml:space="preserve">transportation GHG reduction targets that are based on simultaneously deploying “no new taxes” (a) PAYDAYS car insurance, (b) parking cash out, and (c) the conversion of fixed state and local vehicle </w:t>
      </w:r>
      <w:r w:rsidR="00C97D14">
        <w:rPr>
          <w:rFonts w:ascii="Times New Roman" w:hAnsi="Times New Roman" w:cs="Times New Roman"/>
          <w:sz w:val="24"/>
          <w:szCs w:val="24"/>
        </w:rPr>
        <w:t xml:space="preserve">purchase </w:t>
      </w:r>
      <w:r w:rsidR="00822394" w:rsidRPr="00C32F94">
        <w:rPr>
          <w:rFonts w:ascii="Times New Roman" w:hAnsi="Times New Roman" w:cs="Times New Roman"/>
          <w:sz w:val="24"/>
          <w:szCs w:val="24"/>
        </w:rPr>
        <w:t xml:space="preserve">sales taxes into mileage-based </w:t>
      </w:r>
      <w:r w:rsidR="00B825F2">
        <w:rPr>
          <w:rFonts w:ascii="Times New Roman" w:hAnsi="Times New Roman" w:cs="Times New Roman"/>
          <w:sz w:val="24"/>
          <w:szCs w:val="24"/>
        </w:rPr>
        <w:t>fees</w:t>
      </w:r>
      <w:r w:rsidR="00822394" w:rsidRPr="00C32F94">
        <w:rPr>
          <w:rFonts w:ascii="Times New Roman" w:hAnsi="Times New Roman" w:cs="Times New Roman"/>
          <w:sz w:val="24"/>
          <w:szCs w:val="24"/>
        </w:rPr>
        <w:t xml:space="preserve"> designed to raise equivalent revenue.</w:t>
      </w:r>
      <w:r w:rsidR="00D648B2" w:rsidRPr="00C32F94">
        <w:rPr>
          <w:rFonts w:ascii="Times New Roman" w:hAnsi="Times New Roman" w:cs="Times New Roman"/>
          <w:sz w:val="24"/>
          <w:szCs w:val="24"/>
        </w:rPr>
        <w:t xml:space="preserve">  </w:t>
      </w:r>
    </w:p>
    <w:p w14:paraId="23E6EF09" w14:textId="28C33E86" w:rsidR="00D63411" w:rsidRDefault="00E90A05" w:rsidP="00C32F94">
      <w:pPr>
        <w:rPr>
          <w:rFonts w:ascii="Times New Roman" w:hAnsi="Times New Roman" w:cs="Times New Roman"/>
          <w:sz w:val="24"/>
          <w:szCs w:val="24"/>
        </w:rPr>
      </w:pPr>
      <w:r>
        <w:rPr>
          <w:rFonts w:ascii="Times New Roman" w:hAnsi="Times New Roman" w:cs="Times New Roman"/>
          <w:sz w:val="24"/>
          <w:szCs w:val="24"/>
        </w:rPr>
        <w:t>A</w:t>
      </w:r>
      <w:r w:rsidR="004A0EBF" w:rsidRPr="00C32F94">
        <w:rPr>
          <w:rFonts w:ascii="Times New Roman" w:hAnsi="Times New Roman" w:cs="Times New Roman"/>
          <w:sz w:val="24"/>
          <w:szCs w:val="24"/>
        </w:rPr>
        <w:t xml:space="preserve"> spreadsheet model was developed to provide state and Federal level estimates of year-2030 emission</w:t>
      </w:r>
      <w:r w:rsidR="00E23710">
        <w:rPr>
          <w:rFonts w:ascii="Times New Roman" w:hAnsi="Times New Roman" w:cs="Times New Roman"/>
          <w:sz w:val="24"/>
          <w:szCs w:val="24"/>
        </w:rPr>
        <w:t>s</w:t>
      </w:r>
      <w:r w:rsidR="004A0EBF" w:rsidRPr="00C32F94">
        <w:rPr>
          <w:rFonts w:ascii="Times New Roman" w:hAnsi="Times New Roman" w:cs="Times New Roman"/>
          <w:sz w:val="24"/>
          <w:szCs w:val="24"/>
        </w:rPr>
        <w:t xml:space="preserve"> reductions from this transportation re-pricing policy </w:t>
      </w:r>
      <w:r w:rsidR="00876FF0">
        <w:rPr>
          <w:rFonts w:ascii="Times New Roman" w:hAnsi="Times New Roman" w:cs="Times New Roman"/>
          <w:sz w:val="24"/>
          <w:szCs w:val="24"/>
        </w:rPr>
        <w:t>bundle</w:t>
      </w:r>
      <w:r w:rsidR="004A0EBF" w:rsidRPr="00C32F94">
        <w:rPr>
          <w:rFonts w:ascii="Times New Roman" w:hAnsi="Times New Roman" w:cs="Times New Roman"/>
          <w:sz w:val="24"/>
          <w:szCs w:val="24"/>
        </w:rPr>
        <w:t>.</w:t>
      </w:r>
      <w:r>
        <w:rPr>
          <w:rFonts w:ascii="Times New Roman" w:hAnsi="Times New Roman" w:cs="Times New Roman"/>
          <w:sz w:val="24"/>
          <w:szCs w:val="24"/>
        </w:rPr>
        <w:t xml:space="preserve"> </w:t>
      </w:r>
      <w:r w:rsidR="009A0A4D" w:rsidRPr="00C32F94">
        <w:rPr>
          <w:rFonts w:ascii="Times New Roman" w:hAnsi="Times New Roman" w:cs="Times New Roman"/>
          <w:sz w:val="24"/>
          <w:szCs w:val="24"/>
        </w:rPr>
        <w:t xml:space="preserve"> The study concluded that </w:t>
      </w:r>
      <w:r w:rsidR="00D648B2" w:rsidRPr="00C32F94">
        <w:rPr>
          <w:rFonts w:ascii="Times New Roman" w:hAnsi="Times New Roman" w:cs="Times New Roman"/>
          <w:sz w:val="24"/>
          <w:szCs w:val="24"/>
        </w:rPr>
        <w:t>a universal application of these transportation re-pricing measures could reduce GHG emissions by 257 million metric tons (MMT) of carbon dioxide equivalent (CO</w:t>
      </w:r>
      <w:r w:rsidR="00D648B2" w:rsidRPr="00C32F94">
        <w:rPr>
          <w:rFonts w:ascii="Times New Roman" w:hAnsi="Times New Roman" w:cs="Times New Roman"/>
          <w:sz w:val="24"/>
          <w:szCs w:val="24"/>
          <w:vertAlign w:val="subscript"/>
        </w:rPr>
        <w:t>2</w:t>
      </w:r>
      <w:r w:rsidR="00D648B2" w:rsidRPr="00C32F94">
        <w:rPr>
          <w:rFonts w:ascii="Times New Roman" w:hAnsi="Times New Roman" w:cs="Times New Roman"/>
          <w:sz w:val="24"/>
          <w:szCs w:val="24"/>
        </w:rPr>
        <w:t>e) in year-2030 or 69% of the 375 MMT of CO</w:t>
      </w:r>
      <w:r w:rsidR="00D648B2" w:rsidRPr="00C32F94">
        <w:rPr>
          <w:rFonts w:ascii="Times New Roman" w:hAnsi="Times New Roman" w:cs="Times New Roman"/>
          <w:sz w:val="24"/>
          <w:szCs w:val="24"/>
          <w:vertAlign w:val="subscript"/>
        </w:rPr>
        <w:t>2</w:t>
      </w:r>
      <w:r w:rsidR="00D648B2" w:rsidRPr="00C32F94">
        <w:rPr>
          <w:rFonts w:ascii="Times New Roman" w:hAnsi="Times New Roman" w:cs="Times New Roman"/>
          <w:sz w:val="24"/>
          <w:szCs w:val="24"/>
        </w:rPr>
        <w:t>e reduction projected to result from implementation of the Clean Power Plan rule.</w:t>
      </w:r>
      <w:r w:rsidR="004F592D">
        <w:rPr>
          <w:rFonts w:ascii="Times New Roman" w:hAnsi="Times New Roman" w:cs="Times New Roman"/>
          <w:sz w:val="24"/>
          <w:szCs w:val="24"/>
        </w:rPr>
        <w:t xml:space="preserve">  </w:t>
      </w:r>
    </w:p>
    <w:p w14:paraId="0F2DFFDE" w14:textId="0046F57B" w:rsidR="004A0EBF" w:rsidRDefault="004F592D" w:rsidP="00C32F94">
      <w:pPr>
        <w:rPr>
          <w:rFonts w:ascii="Times New Roman" w:hAnsi="Times New Roman" w:cs="Times New Roman"/>
          <w:sz w:val="24"/>
          <w:szCs w:val="24"/>
        </w:rPr>
      </w:pPr>
      <w:r>
        <w:rPr>
          <w:rFonts w:ascii="Times New Roman" w:hAnsi="Times New Roman" w:cs="Times New Roman"/>
          <w:sz w:val="24"/>
          <w:szCs w:val="24"/>
        </w:rPr>
        <w:t xml:space="preserve">Isolating the results </w:t>
      </w:r>
      <w:r w:rsidR="005F08DB">
        <w:rPr>
          <w:rFonts w:ascii="Times New Roman" w:hAnsi="Times New Roman" w:cs="Times New Roman"/>
          <w:sz w:val="24"/>
          <w:szCs w:val="24"/>
        </w:rPr>
        <w:t xml:space="preserve">of </w:t>
      </w:r>
      <w:r>
        <w:rPr>
          <w:rFonts w:ascii="Times New Roman" w:hAnsi="Times New Roman" w:cs="Times New Roman"/>
          <w:sz w:val="24"/>
          <w:szCs w:val="24"/>
        </w:rPr>
        <w:t>the 1</w:t>
      </w:r>
      <w:r w:rsidR="00A94BCC">
        <w:rPr>
          <w:rFonts w:ascii="Times New Roman" w:hAnsi="Times New Roman" w:cs="Times New Roman"/>
          <w:sz w:val="24"/>
          <w:szCs w:val="24"/>
        </w:rPr>
        <w:t>3</w:t>
      </w:r>
      <w:r>
        <w:rPr>
          <w:rFonts w:ascii="Times New Roman" w:hAnsi="Times New Roman" w:cs="Times New Roman"/>
          <w:sz w:val="24"/>
          <w:szCs w:val="24"/>
        </w:rPr>
        <w:t xml:space="preserve"> TCI </w:t>
      </w:r>
      <w:r w:rsidR="00A94BCC">
        <w:rPr>
          <w:rFonts w:ascii="Times New Roman" w:hAnsi="Times New Roman" w:cs="Times New Roman"/>
          <w:sz w:val="24"/>
          <w:szCs w:val="24"/>
        </w:rPr>
        <w:t xml:space="preserve">jurisdictions (12 </w:t>
      </w:r>
      <w:r>
        <w:rPr>
          <w:rFonts w:ascii="Times New Roman" w:hAnsi="Times New Roman" w:cs="Times New Roman"/>
          <w:sz w:val="24"/>
          <w:szCs w:val="24"/>
        </w:rPr>
        <w:t>states</w:t>
      </w:r>
      <w:r w:rsidR="00A94BCC">
        <w:rPr>
          <w:rFonts w:ascii="Times New Roman" w:hAnsi="Times New Roman" w:cs="Times New Roman"/>
          <w:sz w:val="24"/>
          <w:szCs w:val="24"/>
        </w:rPr>
        <w:t xml:space="preserve"> plus the District of Columbia)</w:t>
      </w:r>
      <w:r w:rsidR="00D63411">
        <w:rPr>
          <w:rFonts w:ascii="Times New Roman" w:hAnsi="Times New Roman" w:cs="Times New Roman"/>
          <w:sz w:val="24"/>
          <w:szCs w:val="24"/>
        </w:rPr>
        <w:t xml:space="preserve"> from this study</w:t>
      </w:r>
      <w:r>
        <w:rPr>
          <w:rFonts w:ascii="Times New Roman" w:hAnsi="Times New Roman" w:cs="Times New Roman"/>
          <w:sz w:val="24"/>
          <w:szCs w:val="24"/>
        </w:rPr>
        <w:t>,</w:t>
      </w:r>
      <w:r w:rsidR="005F08DB">
        <w:rPr>
          <w:rFonts w:ascii="Times New Roman" w:hAnsi="Times New Roman" w:cs="Times New Roman"/>
          <w:sz w:val="24"/>
          <w:szCs w:val="24"/>
        </w:rPr>
        <w:t xml:space="preserve"> reductions of 45.8 MMT of </w:t>
      </w:r>
      <w:r w:rsidR="005F08DB" w:rsidRPr="00C32F94">
        <w:rPr>
          <w:rFonts w:ascii="Times New Roman" w:hAnsi="Times New Roman" w:cs="Times New Roman"/>
          <w:sz w:val="24"/>
          <w:szCs w:val="24"/>
        </w:rPr>
        <w:t>CO</w:t>
      </w:r>
      <w:r w:rsidR="005F08DB" w:rsidRPr="00C32F94">
        <w:rPr>
          <w:rFonts w:ascii="Times New Roman" w:hAnsi="Times New Roman" w:cs="Times New Roman"/>
          <w:sz w:val="24"/>
          <w:szCs w:val="24"/>
          <w:vertAlign w:val="subscript"/>
        </w:rPr>
        <w:t>2</w:t>
      </w:r>
      <w:r w:rsidR="005F08DB" w:rsidRPr="00C32F94">
        <w:rPr>
          <w:rFonts w:ascii="Times New Roman" w:hAnsi="Times New Roman" w:cs="Times New Roman"/>
          <w:sz w:val="24"/>
          <w:szCs w:val="24"/>
        </w:rPr>
        <w:t>e</w:t>
      </w:r>
      <w:r w:rsidR="005F08DB">
        <w:rPr>
          <w:rFonts w:ascii="Times New Roman" w:hAnsi="Times New Roman" w:cs="Times New Roman"/>
          <w:sz w:val="24"/>
          <w:szCs w:val="24"/>
        </w:rPr>
        <w:t xml:space="preserve"> in year-2030 </w:t>
      </w:r>
      <w:r w:rsidR="00D63411">
        <w:rPr>
          <w:rFonts w:ascii="Times New Roman" w:hAnsi="Times New Roman" w:cs="Times New Roman"/>
          <w:sz w:val="24"/>
          <w:szCs w:val="24"/>
        </w:rPr>
        <w:t>we</w:t>
      </w:r>
      <w:r w:rsidR="005F08DB">
        <w:rPr>
          <w:rFonts w:ascii="Times New Roman" w:hAnsi="Times New Roman" w:cs="Times New Roman"/>
          <w:sz w:val="24"/>
          <w:szCs w:val="24"/>
        </w:rPr>
        <w:t xml:space="preserve">re projected from the transportation price-shifting bundle. </w:t>
      </w:r>
      <w:r w:rsidR="0043085C">
        <w:rPr>
          <w:rFonts w:ascii="Times New Roman" w:hAnsi="Times New Roman" w:cs="Times New Roman"/>
          <w:sz w:val="24"/>
          <w:szCs w:val="24"/>
        </w:rPr>
        <w:t xml:space="preserve"> Using the same modeling approach to estimate the impacts of a $50 price per ton of transportation emissions on TCI states (anchored off </w:t>
      </w:r>
      <w:r w:rsidR="008132F9">
        <w:rPr>
          <w:rFonts w:ascii="Times New Roman" w:hAnsi="Times New Roman" w:cs="Times New Roman"/>
          <w:sz w:val="24"/>
          <w:szCs w:val="24"/>
        </w:rPr>
        <w:t xml:space="preserve">the U.S. Government Interagency Working Group on Social Cost of Carbon 2015 </w:t>
      </w:r>
      <w:r w:rsidR="0043085C">
        <w:rPr>
          <w:rFonts w:ascii="Times New Roman" w:hAnsi="Times New Roman" w:cs="Times New Roman"/>
          <w:sz w:val="24"/>
          <w:szCs w:val="24"/>
        </w:rPr>
        <w:t xml:space="preserve">assessment), projected reductions of </w:t>
      </w:r>
      <w:r w:rsidR="0043085C" w:rsidRPr="00C32F94">
        <w:rPr>
          <w:rFonts w:ascii="Times New Roman" w:hAnsi="Times New Roman" w:cs="Times New Roman"/>
          <w:sz w:val="24"/>
          <w:szCs w:val="24"/>
        </w:rPr>
        <w:t>CO</w:t>
      </w:r>
      <w:r w:rsidR="0043085C" w:rsidRPr="00C32F94">
        <w:rPr>
          <w:rFonts w:ascii="Times New Roman" w:hAnsi="Times New Roman" w:cs="Times New Roman"/>
          <w:sz w:val="24"/>
          <w:szCs w:val="24"/>
          <w:vertAlign w:val="subscript"/>
        </w:rPr>
        <w:t>2</w:t>
      </w:r>
      <w:r w:rsidR="0043085C" w:rsidRPr="00C32F94">
        <w:rPr>
          <w:rFonts w:ascii="Times New Roman" w:hAnsi="Times New Roman" w:cs="Times New Roman"/>
          <w:sz w:val="24"/>
          <w:szCs w:val="24"/>
        </w:rPr>
        <w:t>e</w:t>
      </w:r>
      <w:r w:rsidR="0043085C">
        <w:rPr>
          <w:rFonts w:ascii="Times New Roman" w:hAnsi="Times New Roman" w:cs="Times New Roman"/>
          <w:sz w:val="24"/>
          <w:szCs w:val="24"/>
        </w:rPr>
        <w:t xml:space="preserve"> (excluding consideration of revenue use) would be 15.4 MMT.</w:t>
      </w:r>
      <w:r w:rsidR="00537FAD">
        <w:rPr>
          <w:rFonts w:ascii="Times New Roman" w:hAnsi="Times New Roman" w:cs="Times New Roman"/>
          <w:sz w:val="24"/>
          <w:szCs w:val="24"/>
        </w:rPr>
        <w:t xml:space="preserve">  Nationally, it was calculated that the transportation re-pricing policy bundle would on its own reduce year-2030 </w:t>
      </w:r>
      <w:r w:rsidR="005572F9">
        <w:rPr>
          <w:rFonts w:ascii="Times New Roman" w:hAnsi="Times New Roman" w:cs="Times New Roman"/>
          <w:sz w:val="24"/>
          <w:szCs w:val="24"/>
        </w:rPr>
        <w:t>VMT</w:t>
      </w:r>
      <w:r w:rsidR="00537FAD">
        <w:rPr>
          <w:rFonts w:ascii="Times New Roman" w:hAnsi="Times New Roman" w:cs="Times New Roman"/>
          <w:sz w:val="24"/>
          <w:szCs w:val="24"/>
        </w:rPr>
        <w:t xml:space="preserve"> and carbon emissions by 23.2% </w:t>
      </w:r>
      <w:r w:rsidR="00D63411">
        <w:rPr>
          <w:rFonts w:ascii="Times New Roman" w:hAnsi="Times New Roman" w:cs="Times New Roman"/>
          <w:sz w:val="24"/>
          <w:szCs w:val="24"/>
        </w:rPr>
        <w:t xml:space="preserve">(a 257 MMT </w:t>
      </w:r>
      <w:r w:rsidR="00D63411" w:rsidRPr="00C32F94">
        <w:rPr>
          <w:rFonts w:ascii="Times New Roman" w:hAnsi="Times New Roman" w:cs="Times New Roman"/>
          <w:sz w:val="24"/>
          <w:szCs w:val="24"/>
        </w:rPr>
        <w:t>CO</w:t>
      </w:r>
      <w:r w:rsidR="00D63411" w:rsidRPr="00C32F94">
        <w:rPr>
          <w:rFonts w:ascii="Times New Roman" w:hAnsi="Times New Roman" w:cs="Times New Roman"/>
          <w:sz w:val="24"/>
          <w:szCs w:val="24"/>
          <w:vertAlign w:val="subscript"/>
        </w:rPr>
        <w:t>2</w:t>
      </w:r>
      <w:r w:rsidR="00D63411" w:rsidRPr="00C32F94">
        <w:rPr>
          <w:rFonts w:ascii="Times New Roman" w:hAnsi="Times New Roman" w:cs="Times New Roman"/>
          <w:sz w:val="24"/>
          <w:szCs w:val="24"/>
        </w:rPr>
        <w:t>e</w:t>
      </w:r>
      <w:r w:rsidR="00D63411">
        <w:rPr>
          <w:rFonts w:ascii="Times New Roman" w:hAnsi="Times New Roman" w:cs="Times New Roman"/>
          <w:sz w:val="24"/>
          <w:szCs w:val="24"/>
        </w:rPr>
        <w:t xml:space="preserve"> reduction from the 1,108 MMT </w:t>
      </w:r>
      <w:r w:rsidR="00D63411" w:rsidRPr="00C32F94">
        <w:rPr>
          <w:rFonts w:ascii="Times New Roman" w:hAnsi="Times New Roman" w:cs="Times New Roman"/>
          <w:sz w:val="24"/>
          <w:szCs w:val="24"/>
        </w:rPr>
        <w:t>CO</w:t>
      </w:r>
      <w:r w:rsidR="00D63411" w:rsidRPr="00C32F94">
        <w:rPr>
          <w:rFonts w:ascii="Times New Roman" w:hAnsi="Times New Roman" w:cs="Times New Roman"/>
          <w:sz w:val="24"/>
          <w:szCs w:val="24"/>
          <w:vertAlign w:val="subscript"/>
        </w:rPr>
        <w:t>2</w:t>
      </w:r>
      <w:r w:rsidR="00D63411" w:rsidRPr="00C32F94">
        <w:rPr>
          <w:rFonts w:ascii="Times New Roman" w:hAnsi="Times New Roman" w:cs="Times New Roman"/>
          <w:sz w:val="24"/>
          <w:szCs w:val="24"/>
        </w:rPr>
        <w:t>e</w:t>
      </w:r>
      <w:r w:rsidR="00D63411">
        <w:rPr>
          <w:rFonts w:ascii="Times New Roman" w:hAnsi="Times New Roman" w:cs="Times New Roman"/>
          <w:sz w:val="24"/>
          <w:szCs w:val="24"/>
        </w:rPr>
        <w:t xml:space="preserve"> U.S. EIA </w:t>
      </w:r>
      <w:r w:rsidR="001773B8">
        <w:rPr>
          <w:rFonts w:ascii="Times New Roman" w:hAnsi="Times New Roman" w:cs="Times New Roman"/>
          <w:sz w:val="24"/>
          <w:szCs w:val="24"/>
        </w:rPr>
        <w:t xml:space="preserve">VISION </w:t>
      </w:r>
      <w:r w:rsidR="00D63411">
        <w:rPr>
          <w:rFonts w:ascii="Times New Roman" w:hAnsi="Times New Roman" w:cs="Times New Roman"/>
          <w:sz w:val="24"/>
          <w:szCs w:val="24"/>
        </w:rPr>
        <w:t>2014 AEO Base Case light-duty vehicle emissions projected)</w:t>
      </w:r>
      <w:r w:rsidR="00537FAD">
        <w:rPr>
          <w:rFonts w:ascii="Times New Roman" w:hAnsi="Times New Roman" w:cs="Times New Roman"/>
          <w:sz w:val="24"/>
          <w:szCs w:val="24"/>
        </w:rPr>
        <w:t>.</w:t>
      </w:r>
      <w:r w:rsidR="002E2420">
        <w:rPr>
          <w:rFonts w:ascii="Times New Roman" w:hAnsi="Times New Roman" w:cs="Times New Roman"/>
          <w:sz w:val="24"/>
          <w:szCs w:val="24"/>
        </w:rPr>
        <w:t xml:space="preserve">  At first glance, this figure might seem high, but it results from a very substantial amount of transportation re-pricing that would be occurring due to the modeled policy.</w:t>
      </w:r>
    </w:p>
    <w:p w14:paraId="3D4421E3" w14:textId="46666F31" w:rsidR="00C06F8E" w:rsidRPr="00C06F8E" w:rsidRDefault="00C06F8E" w:rsidP="00C32F9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States, of course, could deploy transportation price shifting in a manner that is either less aggressive or more aggressive than that which was modeled, with the proposed SPIBR program </w:t>
      </w:r>
      <w:r>
        <w:rPr>
          <w:rFonts w:ascii="Times New Roman" w:hAnsi="Times New Roman" w:cs="Times New Roman"/>
          <w:color w:val="000000"/>
          <w:sz w:val="24"/>
          <w:szCs w:val="24"/>
        </w:rPr>
        <w:lastRenderedPageBreak/>
        <w:t>design rewarding states based on the amount of price shifting that ultimately materializes.  There were a</w:t>
      </w:r>
      <w:r>
        <w:rPr>
          <w:rFonts w:ascii="Times New Roman" w:hAnsi="Times New Roman" w:cs="Times New Roman"/>
          <w:sz w:val="24"/>
          <w:szCs w:val="24"/>
        </w:rPr>
        <w:t>dditional transportation price shifting policies that were not modeled, including states converting annual vehicle registration fees to mileage fees (much like vehicle purchase sales taxes being converted to such fees</w:t>
      </w:r>
      <w:r>
        <w:rPr>
          <w:rFonts w:ascii="Times New Roman" w:hAnsi="Times New Roman" w:cs="Times New Roman"/>
          <w:sz w:val="24"/>
          <w:szCs w:val="24"/>
        </w:rPr>
        <w:t>, which</w:t>
      </w:r>
      <w:r>
        <w:rPr>
          <w:rFonts w:ascii="Times New Roman" w:hAnsi="Times New Roman" w:cs="Times New Roman"/>
          <w:sz w:val="24"/>
          <w:szCs w:val="24"/>
        </w:rPr>
        <w:t xml:space="preserve"> was modeled).  “Lighter” versions of modeled policies are also possible.  If, as an example, instead of mandates, states enacted tax credits to insurance companies to offer PAYDAYS insurance, SPIBR program rewards to the states would be based on the number of companies and consumers that are newly offered such insurance pricing after tax credit enactment.</w:t>
      </w:r>
    </w:p>
    <w:p w14:paraId="095D79A4" w14:textId="44EF758D" w:rsidR="00D36D51" w:rsidRPr="00C32F94" w:rsidRDefault="000D6F1F" w:rsidP="00C32F94">
      <w:pPr>
        <w:rPr>
          <w:rFonts w:ascii="Times New Roman" w:hAnsi="Times New Roman" w:cs="Times New Roman"/>
          <w:sz w:val="24"/>
          <w:szCs w:val="24"/>
        </w:rPr>
      </w:pPr>
      <w:r w:rsidRPr="00C32F94">
        <w:rPr>
          <w:rFonts w:ascii="Times New Roman" w:hAnsi="Times New Roman" w:cs="Times New Roman"/>
          <w:sz w:val="24"/>
          <w:szCs w:val="24"/>
        </w:rPr>
        <w:t>A 2018 YouGov poll found a decent amount of public support for transportation re</w:t>
      </w:r>
      <w:r w:rsidR="00876FF0">
        <w:rPr>
          <w:rFonts w:ascii="Times New Roman" w:hAnsi="Times New Roman" w:cs="Times New Roman"/>
          <w:sz w:val="24"/>
          <w:szCs w:val="24"/>
        </w:rPr>
        <w:t>-</w:t>
      </w:r>
      <w:r w:rsidRPr="00C32F94">
        <w:rPr>
          <w:rFonts w:ascii="Times New Roman" w:hAnsi="Times New Roman" w:cs="Times New Roman"/>
          <w:sz w:val="24"/>
          <w:szCs w:val="24"/>
        </w:rPr>
        <w:t>pricing</w:t>
      </w:r>
      <w:r w:rsidR="00D84C64" w:rsidRPr="00C32F94">
        <w:rPr>
          <w:rFonts w:ascii="Times New Roman" w:hAnsi="Times New Roman" w:cs="Times New Roman"/>
          <w:sz w:val="24"/>
          <w:szCs w:val="24"/>
        </w:rPr>
        <w:t>, especially when compared to other transportation pricing strategies.</w:t>
      </w:r>
      <w:r w:rsidR="00D84C64" w:rsidRPr="00C32F94">
        <w:rPr>
          <w:rFonts w:ascii="Times New Roman" w:eastAsiaTheme="minorEastAsia" w:hAnsi="Times New Roman" w:cs="Times New Roman"/>
          <w:shadow/>
          <w:color w:val="000000" w:themeColor="text1"/>
          <w:sz w:val="24"/>
          <w:szCs w:val="24"/>
          <w14:shadow w14:blurRad="38100" w14:dist="38100" w14:dir="2700000" w14:sx="100000" w14:sy="100000" w14:kx="0" w14:ky="0" w14:algn="tl">
            <w14:srgbClr w14:val="000000">
              <w14:alpha w14:val="57000"/>
            </w14:srgbClr>
          </w14:shadow>
        </w:rPr>
        <w:t xml:space="preserve"> </w:t>
      </w:r>
      <w:r w:rsidR="00D84C64" w:rsidRPr="00C32F94">
        <w:rPr>
          <w:rFonts w:ascii="Times New Roman" w:hAnsi="Times New Roman" w:cs="Times New Roman"/>
          <w:sz w:val="24"/>
          <w:szCs w:val="24"/>
        </w:rPr>
        <w:t xml:space="preserve">Public support nationally for a 42 cent </w:t>
      </w:r>
      <w:r w:rsidR="007126C1">
        <w:rPr>
          <w:rFonts w:ascii="Times New Roman" w:hAnsi="Times New Roman" w:cs="Times New Roman"/>
          <w:sz w:val="24"/>
          <w:szCs w:val="24"/>
        </w:rPr>
        <w:t xml:space="preserve">per-gallon </w:t>
      </w:r>
      <w:r w:rsidR="00D84C64" w:rsidRPr="00C32F94">
        <w:rPr>
          <w:rFonts w:ascii="Times New Roman" w:hAnsi="Times New Roman" w:cs="Times New Roman"/>
          <w:sz w:val="24"/>
          <w:szCs w:val="24"/>
        </w:rPr>
        <w:t xml:space="preserve">gasoline tax with revenues returned by lowering other personal taxes was at 44.7%.  There was similar but slightly lower support (42.7%) if revenues are instead used for transportation purposes.  </w:t>
      </w:r>
      <w:r w:rsidR="00D718C1">
        <w:rPr>
          <w:rFonts w:ascii="Times New Roman" w:hAnsi="Times New Roman" w:cs="Times New Roman"/>
          <w:sz w:val="24"/>
          <w:szCs w:val="24"/>
        </w:rPr>
        <w:t>Support in the Northeast was found to be a bit higher</w:t>
      </w:r>
      <w:r w:rsidR="0010096F">
        <w:rPr>
          <w:rFonts w:ascii="Times New Roman" w:hAnsi="Times New Roman" w:cs="Times New Roman"/>
          <w:sz w:val="24"/>
          <w:szCs w:val="24"/>
        </w:rPr>
        <w:t xml:space="preserve"> at 50.0% with </w:t>
      </w:r>
      <w:r w:rsidR="00A94BCC">
        <w:rPr>
          <w:rFonts w:ascii="Times New Roman" w:hAnsi="Times New Roman" w:cs="Times New Roman"/>
          <w:sz w:val="24"/>
          <w:szCs w:val="24"/>
        </w:rPr>
        <w:t xml:space="preserve">gas tax </w:t>
      </w:r>
      <w:r w:rsidR="0010096F">
        <w:rPr>
          <w:rFonts w:ascii="Times New Roman" w:hAnsi="Times New Roman" w:cs="Times New Roman"/>
          <w:sz w:val="24"/>
          <w:szCs w:val="24"/>
        </w:rPr>
        <w:t xml:space="preserve">revenues returned to lower </w:t>
      </w:r>
      <w:r w:rsidR="00A94BCC">
        <w:rPr>
          <w:rFonts w:ascii="Times New Roman" w:hAnsi="Times New Roman" w:cs="Times New Roman"/>
          <w:sz w:val="24"/>
          <w:szCs w:val="24"/>
        </w:rPr>
        <w:t xml:space="preserve">other </w:t>
      </w:r>
      <w:r w:rsidR="0010096F">
        <w:rPr>
          <w:rFonts w:ascii="Times New Roman" w:hAnsi="Times New Roman" w:cs="Times New Roman"/>
          <w:sz w:val="24"/>
          <w:szCs w:val="24"/>
        </w:rPr>
        <w:t>taxes</w:t>
      </w:r>
      <w:r w:rsidR="00A94BCC">
        <w:rPr>
          <w:rFonts w:ascii="Times New Roman" w:hAnsi="Times New Roman" w:cs="Times New Roman"/>
          <w:sz w:val="24"/>
          <w:szCs w:val="24"/>
        </w:rPr>
        <w:t>, but</w:t>
      </w:r>
      <w:r w:rsidR="0010096F">
        <w:rPr>
          <w:rFonts w:ascii="Times New Roman" w:hAnsi="Times New Roman" w:cs="Times New Roman"/>
          <w:sz w:val="24"/>
          <w:szCs w:val="24"/>
        </w:rPr>
        <w:t xml:space="preserve"> only 46.6% if revenues are used to support transportation investments to reduce carbon emissions, as is the TCI plan.  </w:t>
      </w:r>
      <w:r w:rsidR="00E5753D">
        <w:rPr>
          <w:rFonts w:ascii="Times New Roman" w:hAnsi="Times New Roman" w:cs="Times New Roman"/>
          <w:sz w:val="24"/>
          <w:szCs w:val="24"/>
        </w:rPr>
        <w:t>Nationally, t</w:t>
      </w:r>
      <w:r w:rsidR="00D84C64" w:rsidRPr="00C32F94">
        <w:rPr>
          <w:rFonts w:ascii="Times New Roman" w:hAnsi="Times New Roman" w:cs="Times New Roman"/>
          <w:sz w:val="24"/>
          <w:szCs w:val="24"/>
        </w:rPr>
        <w:t>here was higher overall public support for PAYDAYS car insurance at 47.6%</w:t>
      </w:r>
      <w:r w:rsidR="0010096F">
        <w:rPr>
          <w:rFonts w:ascii="Times New Roman" w:hAnsi="Times New Roman" w:cs="Times New Roman"/>
          <w:sz w:val="24"/>
          <w:szCs w:val="24"/>
        </w:rPr>
        <w:t xml:space="preserve"> (53.0% in the Northeast)</w:t>
      </w:r>
      <w:r w:rsidR="00D84C64" w:rsidRPr="00C32F94">
        <w:rPr>
          <w:rFonts w:ascii="Times New Roman" w:hAnsi="Times New Roman" w:cs="Times New Roman"/>
          <w:sz w:val="24"/>
          <w:szCs w:val="24"/>
        </w:rPr>
        <w:t>, parking cash</w:t>
      </w:r>
      <w:r w:rsidR="006A4BDA">
        <w:rPr>
          <w:rFonts w:ascii="Times New Roman" w:hAnsi="Times New Roman" w:cs="Times New Roman"/>
          <w:sz w:val="24"/>
          <w:szCs w:val="24"/>
        </w:rPr>
        <w:t xml:space="preserve"> </w:t>
      </w:r>
      <w:r w:rsidR="00D84C64" w:rsidRPr="00C32F94">
        <w:rPr>
          <w:rFonts w:ascii="Times New Roman" w:hAnsi="Times New Roman" w:cs="Times New Roman"/>
          <w:sz w:val="24"/>
          <w:szCs w:val="24"/>
        </w:rPr>
        <w:t>out at 53.6%</w:t>
      </w:r>
      <w:r w:rsidR="0010096F">
        <w:rPr>
          <w:rFonts w:ascii="Times New Roman" w:hAnsi="Times New Roman" w:cs="Times New Roman"/>
          <w:sz w:val="24"/>
          <w:szCs w:val="24"/>
        </w:rPr>
        <w:t xml:space="preserve"> (57.2% in the Northeast)</w:t>
      </w:r>
      <w:r w:rsidR="00D84C64" w:rsidRPr="00C32F94">
        <w:rPr>
          <w:rFonts w:ascii="Times New Roman" w:hAnsi="Times New Roman" w:cs="Times New Roman"/>
          <w:sz w:val="24"/>
          <w:szCs w:val="24"/>
        </w:rPr>
        <w:t>, and converting vehicle sales taxes to comparable mileage fees at 53.1%</w:t>
      </w:r>
      <w:r w:rsidR="0010096F">
        <w:rPr>
          <w:rFonts w:ascii="Times New Roman" w:hAnsi="Times New Roman" w:cs="Times New Roman"/>
          <w:sz w:val="24"/>
          <w:szCs w:val="24"/>
        </w:rPr>
        <w:t xml:space="preserve"> (54.8% in the Northeast)</w:t>
      </w:r>
      <w:r w:rsidR="00D84C64" w:rsidRPr="00C32F94">
        <w:rPr>
          <w:rFonts w:ascii="Times New Roman" w:hAnsi="Times New Roman" w:cs="Times New Roman"/>
          <w:sz w:val="24"/>
          <w:szCs w:val="24"/>
        </w:rPr>
        <w:t xml:space="preserve">.  (PAYDAYS insurance polls a little bit lower than the other price-shifting strategies likely because of concerns related to insurance costs for long drives.  Products available in the marketplace typically cap such costs, but </w:t>
      </w:r>
      <w:r w:rsidR="004F0CA6">
        <w:rPr>
          <w:rFonts w:ascii="Times New Roman" w:hAnsi="Times New Roman" w:cs="Times New Roman"/>
          <w:sz w:val="24"/>
          <w:szCs w:val="24"/>
        </w:rPr>
        <w:t>it is doubtful that many</w:t>
      </w:r>
      <w:r w:rsidR="00D84C64" w:rsidRPr="00C32F94">
        <w:rPr>
          <w:rFonts w:ascii="Times New Roman" w:hAnsi="Times New Roman" w:cs="Times New Roman"/>
          <w:sz w:val="24"/>
          <w:szCs w:val="24"/>
        </w:rPr>
        <w:t xml:space="preserve"> </w:t>
      </w:r>
      <w:r w:rsidR="004F0CA6">
        <w:rPr>
          <w:rFonts w:ascii="Times New Roman" w:hAnsi="Times New Roman" w:cs="Times New Roman"/>
          <w:sz w:val="24"/>
          <w:szCs w:val="24"/>
        </w:rPr>
        <w:t>who were polled</w:t>
      </w:r>
      <w:r w:rsidR="00D84C64" w:rsidRPr="00C32F94">
        <w:rPr>
          <w:rFonts w:ascii="Times New Roman" w:hAnsi="Times New Roman" w:cs="Times New Roman"/>
          <w:sz w:val="24"/>
          <w:szCs w:val="24"/>
        </w:rPr>
        <w:t xml:space="preserve"> knew that.)</w:t>
      </w:r>
    </w:p>
    <w:p w14:paraId="22D442A8" w14:textId="1B4DB30C" w:rsidR="00D36D51" w:rsidRPr="00C32F94" w:rsidRDefault="00766CDF" w:rsidP="00C32F94">
      <w:pPr>
        <w:rPr>
          <w:rFonts w:ascii="Times New Roman" w:hAnsi="Times New Roman" w:cs="Times New Roman"/>
          <w:color w:val="000000"/>
          <w:sz w:val="24"/>
          <w:szCs w:val="24"/>
        </w:rPr>
      </w:pPr>
      <w:r w:rsidRPr="00C32F94">
        <w:rPr>
          <w:rFonts w:ascii="Times New Roman" w:hAnsi="Times New Roman" w:cs="Times New Roman"/>
          <w:color w:val="000000"/>
          <w:sz w:val="24"/>
          <w:szCs w:val="24"/>
        </w:rPr>
        <w:t>Transportation price</w:t>
      </w:r>
      <w:r w:rsidR="006A4BDA">
        <w:rPr>
          <w:rFonts w:ascii="Times New Roman" w:hAnsi="Times New Roman" w:cs="Times New Roman"/>
          <w:color w:val="000000"/>
          <w:sz w:val="24"/>
          <w:szCs w:val="24"/>
        </w:rPr>
        <w:t xml:space="preserve"> </w:t>
      </w:r>
      <w:r w:rsidRPr="00C32F94">
        <w:rPr>
          <w:rFonts w:ascii="Times New Roman" w:hAnsi="Times New Roman" w:cs="Times New Roman"/>
          <w:color w:val="000000"/>
          <w:sz w:val="24"/>
          <w:szCs w:val="24"/>
        </w:rPr>
        <w:t xml:space="preserve">shifting has the potential to garner bipartisan </w:t>
      </w:r>
      <w:r w:rsidR="00354E79">
        <w:rPr>
          <w:rFonts w:ascii="Times New Roman" w:hAnsi="Times New Roman" w:cs="Times New Roman"/>
          <w:color w:val="000000"/>
          <w:sz w:val="24"/>
          <w:szCs w:val="24"/>
        </w:rPr>
        <w:t>acceptance</w:t>
      </w:r>
      <w:r w:rsidR="004F0CA6">
        <w:rPr>
          <w:rFonts w:ascii="Times New Roman" w:hAnsi="Times New Roman" w:cs="Times New Roman"/>
          <w:color w:val="000000"/>
          <w:sz w:val="24"/>
          <w:szCs w:val="24"/>
        </w:rPr>
        <w:t>, as there is</w:t>
      </w:r>
      <w:r w:rsidR="00B96A5A" w:rsidRPr="00C32F94">
        <w:rPr>
          <w:rFonts w:ascii="Times New Roman" w:hAnsi="Times New Roman" w:cs="Times New Roman"/>
          <w:color w:val="000000"/>
          <w:sz w:val="24"/>
          <w:szCs w:val="24"/>
        </w:rPr>
        <w:t xml:space="preserve"> a history of Republican and conservative support for </w:t>
      </w:r>
      <w:r w:rsidR="004F0CA6">
        <w:rPr>
          <w:rFonts w:ascii="Times New Roman" w:hAnsi="Times New Roman" w:cs="Times New Roman"/>
          <w:color w:val="000000"/>
          <w:sz w:val="24"/>
          <w:szCs w:val="24"/>
        </w:rPr>
        <w:t>it</w:t>
      </w:r>
      <w:r w:rsidR="00B96A5A" w:rsidRPr="00C32F94">
        <w:rPr>
          <w:rFonts w:ascii="Times New Roman" w:hAnsi="Times New Roman" w:cs="Times New Roman"/>
          <w:color w:val="000000"/>
          <w:sz w:val="24"/>
          <w:szCs w:val="24"/>
        </w:rPr>
        <w:t xml:space="preserve">.  </w:t>
      </w:r>
      <w:r w:rsidR="002F5615" w:rsidRPr="00C32F94">
        <w:rPr>
          <w:rFonts w:ascii="Times New Roman" w:hAnsi="Times New Roman" w:cs="Times New Roman"/>
          <w:color w:val="000000"/>
          <w:sz w:val="24"/>
          <w:szCs w:val="24"/>
        </w:rPr>
        <w:t>Federal tax credits for PAYDAYS insurance</w:t>
      </w:r>
      <w:r w:rsidR="00354E79">
        <w:rPr>
          <w:rFonts w:ascii="Times New Roman" w:hAnsi="Times New Roman" w:cs="Times New Roman"/>
          <w:color w:val="000000"/>
          <w:sz w:val="24"/>
          <w:szCs w:val="24"/>
        </w:rPr>
        <w:t>, for example, were</w:t>
      </w:r>
      <w:r w:rsidR="002F5615" w:rsidRPr="00C32F94">
        <w:rPr>
          <w:rFonts w:ascii="Times New Roman" w:hAnsi="Times New Roman" w:cs="Times New Roman"/>
          <w:color w:val="000000"/>
          <w:sz w:val="24"/>
          <w:szCs w:val="24"/>
        </w:rPr>
        <w:t xml:space="preserve"> written into a bill in 2007 by then Congressman Gerlach</w:t>
      </w:r>
      <w:r w:rsidR="00A554D6">
        <w:rPr>
          <w:rFonts w:ascii="Times New Roman" w:hAnsi="Times New Roman" w:cs="Times New Roman"/>
          <w:color w:val="000000"/>
          <w:sz w:val="24"/>
          <w:szCs w:val="24"/>
        </w:rPr>
        <w:t xml:space="preserve"> (R-PA)</w:t>
      </w:r>
      <w:r w:rsidR="002F5615" w:rsidRPr="00C32F94">
        <w:rPr>
          <w:rFonts w:ascii="Times New Roman" w:hAnsi="Times New Roman" w:cs="Times New Roman"/>
          <w:color w:val="000000"/>
          <w:sz w:val="24"/>
          <w:szCs w:val="24"/>
        </w:rPr>
        <w:t xml:space="preserve">.  Section 302 </w:t>
      </w:r>
      <w:r w:rsidR="005C64ED" w:rsidRPr="00C32F94">
        <w:rPr>
          <w:rFonts w:ascii="Times New Roman" w:hAnsi="Times New Roman" w:cs="Times New Roman"/>
          <w:color w:val="000000"/>
          <w:sz w:val="24"/>
          <w:szCs w:val="24"/>
        </w:rPr>
        <w:t xml:space="preserve">(Insurance Savings Incentive Program) </w:t>
      </w:r>
      <w:r w:rsidR="002F5615" w:rsidRPr="00C32F94">
        <w:rPr>
          <w:rFonts w:ascii="Times New Roman" w:hAnsi="Times New Roman" w:cs="Times New Roman"/>
          <w:color w:val="000000"/>
          <w:sz w:val="24"/>
          <w:szCs w:val="24"/>
        </w:rPr>
        <w:t xml:space="preserve">of H.R. 2296, the Future Fuels Act, from the 110th Congress contains the applicable language.  </w:t>
      </w:r>
      <w:r w:rsidR="005C64ED" w:rsidRPr="00C32F94">
        <w:rPr>
          <w:rFonts w:ascii="Times New Roman" w:hAnsi="Times New Roman" w:cs="Times New Roman"/>
          <w:color w:val="000000"/>
          <w:sz w:val="24"/>
          <w:szCs w:val="24"/>
        </w:rPr>
        <w:t>The libertarian Reason Foundation has in the past called for enactment of a Federal parking cash</w:t>
      </w:r>
      <w:r w:rsidR="00354E79">
        <w:rPr>
          <w:rFonts w:ascii="Times New Roman" w:hAnsi="Times New Roman" w:cs="Times New Roman"/>
          <w:color w:val="000000"/>
          <w:sz w:val="24"/>
          <w:szCs w:val="24"/>
        </w:rPr>
        <w:t>-</w:t>
      </w:r>
      <w:r w:rsidR="005C64ED" w:rsidRPr="00C32F94">
        <w:rPr>
          <w:rFonts w:ascii="Times New Roman" w:hAnsi="Times New Roman" w:cs="Times New Roman"/>
          <w:color w:val="000000"/>
          <w:sz w:val="24"/>
          <w:szCs w:val="24"/>
        </w:rPr>
        <w:t>out</w:t>
      </w:r>
      <w:r w:rsidR="00354E79">
        <w:rPr>
          <w:rFonts w:ascii="Times New Roman" w:hAnsi="Times New Roman" w:cs="Times New Roman"/>
          <w:color w:val="000000"/>
          <w:sz w:val="24"/>
          <w:szCs w:val="24"/>
        </w:rPr>
        <w:t xml:space="preserve"> law</w:t>
      </w:r>
      <w:r w:rsidR="005C64ED" w:rsidRPr="00C32F94">
        <w:rPr>
          <w:rFonts w:ascii="Times New Roman" w:hAnsi="Times New Roman" w:cs="Times New Roman"/>
          <w:color w:val="000000"/>
          <w:sz w:val="24"/>
          <w:szCs w:val="24"/>
        </w:rPr>
        <w:t xml:space="preserve">, at the time as a compromise to eliminate the then-existing Employee Commute Options program under the Clean Air Act (see:  </w:t>
      </w:r>
      <w:hyperlink r:id="rId11" w:history="1">
        <w:r w:rsidR="005C64ED" w:rsidRPr="00C32F94">
          <w:rPr>
            <w:rStyle w:val="Hyperlink"/>
            <w:rFonts w:ascii="Times New Roman" w:hAnsi="Times New Roman" w:cs="Times New Roman"/>
            <w:sz w:val="24"/>
            <w:szCs w:val="24"/>
          </w:rPr>
          <w:t>http://reason.org/files/48d0848927c01bf5f340968091de65e9.pdf</w:t>
        </w:r>
      </w:hyperlink>
      <w:r w:rsidR="005C64ED" w:rsidRPr="00C32F94">
        <w:rPr>
          <w:rFonts w:ascii="Times New Roman" w:hAnsi="Times New Roman" w:cs="Times New Roman"/>
          <w:color w:val="000000"/>
          <w:sz w:val="24"/>
          <w:szCs w:val="24"/>
        </w:rPr>
        <w:t>)</w:t>
      </w:r>
      <w:r w:rsidR="000D6F1F" w:rsidRPr="00C32F94">
        <w:rPr>
          <w:rFonts w:ascii="Times New Roman" w:hAnsi="Times New Roman" w:cs="Times New Roman"/>
          <w:color w:val="000000"/>
          <w:sz w:val="24"/>
          <w:szCs w:val="24"/>
        </w:rPr>
        <w:t xml:space="preserve">. </w:t>
      </w:r>
    </w:p>
    <w:p w14:paraId="6BD0D87C" w14:textId="5E1F307C" w:rsidR="0095340B" w:rsidRDefault="009065E4" w:rsidP="000B3248">
      <w:pPr>
        <w:rPr>
          <w:rFonts w:ascii="Times New Roman" w:hAnsi="Times New Roman" w:cs="Times New Roman"/>
          <w:sz w:val="24"/>
          <w:szCs w:val="24"/>
        </w:rPr>
      </w:pPr>
      <w:r>
        <w:rPr>
          <w:rFonts w:ascii="Times New Roman" w:hAnsi="Times New Roman" w:cs="Times New Roman"/>
          <w:sz w:val="24"/>
          <w:szCs w:val="24"/>
        </w:rPr>
        <w:t>T</w:t>
      </w:r>
      <w:r w:rsidR="00C76490" w:rsidRPr="00C32F94">
        <w:rPr>
          <w:rFonts w:ascii="Times New Roman" w:hAnsi="Times New Roman" w:cs="Times New Roman"/>
          <w:sz w:val="24"/>
          <w:szCs w:val="24"/>
        </w:rPr>
        <w:t xml:space="preserve">he very significant carbon reduction benefits </w:t>
      </w:r>
      <w:r w:rsidR="00354E79">
        <w:rPr>
          <w:rFonts w:ascii="Times New Roman" w:hAnsi="Times New Roman" w:cs="Times New Roman"/>
          <w:sz w:val="24"/>
          <w:szCs w:val="24"/>
        </w:rPr>
        <w:t>from transportation price</w:t>
      </w:r>
      <w:r w:rsidR="006A4BDA">
        <w:rPr>
          <w:rFonts w:ascii="Times New Roman" w:hAnsi="Times New Roman" w:cs="Times New Roman"/>
          <w:sz w:val="24"/>
          <w:szCs w:val="24"/>
        </w:rPr>
        <w:t xml:space="preserve"> </w:t>
      </w:r>
      <w:r w:rsidR="00354E79">
        <w:rPr>
          <w:rFonts w:ascii="Times New Roman" w:hAnsi="Times New Roman" w:cs="Times New Roman"/>
          <w:sz w:val="24"/>
          <w:szCs w:val="24"/>
        </w:rPr>
        <w:t xml:space="preserve">shifting </w:t>
      </w:r>
      <w:r w:rsidR="00C76490" w:rsidRPr="00C32F94">
        <w:rPr>
          <w:rFonts w:ascii="Times New Roman" w:hAnsi="Times New Roman" w:cs="Times New Roman"/>
          <w:sz w:val="24"/>
          <w:szCs w:val="24"/>
        </w:rPr>
        <w:t xml:space="preserve">would be realized at no cost to the </w:t>
      </w:r>
      <w:r>
        <w:rPr>
          <w:rFonts w:ascii="Times New Roman" w:hAnsi="Times New Roman" w:cs="Times New Roman"/>
          <w:sz w:val="24"/>
          <w:szCs w:val="24"/>
        </w:rPr>
        <w:t>TCI states implementing them</w:t>
      </w:r>
      <w:r w:rsidR="009D55F4">
        <w:rPr>
          <w:rFonts w:ascii="Times New Roman" w:hAnsi="Times New Roman" w:cs="Times New Roman"/>
          <w:sz w:val="24"/>
          <w:szCs w:val="24"/>
        </w:rPr>
        <w:t xml:space="preserve"> or to individual motorists, which could partially explain their popularity relative to other transportation pricing strategies.  </w:t>
      </w:r>
      <w:r w:rsidR="009D55F4" w:rsidRPr="00C32F94">
        <w:rPr>
          <w:rFonts w:ascii="Times New Roman" w:hAnsi="Times New Roman" w:cs="Times New Roman"/>
          <w:sz w:val="24"/>
          <w:szCs w:val="24"/>
        </w:rPr>
        <w:t xml:space="preserve">Parking cash out is revenue positive to governments because a portion of employees who drive alone to work and are provided a tax-exempt car-parking benefit from their employers would, if offered, choose to accept an alternative commute benefit that </w:t>
      </w:r>
      <w:r w:rsidR="009D55F4">
        <w:rPr>
          <w:rFonts w:ascii="Times New Roman" w:hAnsi="Times New Roman" w:cs="Times New Roman"/>
          <w:sz w:val="24"/>
          <w:szCs w:val="24"/>
        </w:rPr>
        <w:t>in many instances would</w:t>
      </w:r>
      <w:r w:rsidR="009D55F4" w:rsidRPr="00C32F94">
        <w:rPr>
          <w:rFonts w:ascii="Times New Roman" w:hAnsi="Times New Roman" w:cs="Times New Roman"/>
          <w:sz w:val="24"/>
          <w:szCs w:val="24"/>
        </w:rPr>
        <w:t xml:space="preserve"> include some taxable cash.  </w:t>
      </w:r>
      <w:r w:rsidR="009D55F4">
        <w:rPr>
          <w:rFonts w:ascii="Times New Roman" w:hAnsi="Times New Roman" w:cs="Times New Roman"/>
          <w:sz w:val="24"/>
          <w:szCs w:val="24"/>
        </w:rPr>
        <w:t>D</w:t>
      </w:r>
      <w:r w:rsidR="00C76490" w:rsidRPr="00C32F94">
        <w:rPr>
          <w:rFonts w:ascii="Times New Roman" w:hAnsi="Times New Roman" w:cs="Times New Roman"/>
          <w:sz w:val="24"/>
          <w:szCs w:val="24"/>
        </w:rPr>
        <w:t xml:space="preserve">rivers </w:t>
      </w:r>
      <w:r w:rsidR="005E5A7D" w:rsidRPr="00C32F94">
        <w:rPr>
          <w:rFonts w:ascii="Times New Roman" w:hAnsi="Times New Roman" w:cs="Times New Roman"/>
          <w:sz w:val="24"/>
          <w:szCs w:val="24"/>
        </w:rPr>
        <w:t xml:space="preserve">typically </w:t>
      </w:r>
      <w:r w:rsidR="00C76490" w:rsidRPr="00C32F94">
        <w:rPr>
          <w:rFonts w:ascii="Times New Roman" w:hAnsi="Times New Roman" w:cs="Times New Roman"/>
          <w:sz w:val="24"/>
          <w:szCs w:val="24"/>
        </w:rPr>
        <w:t>save money</w:t>
      </w:r>
      <w:r w:rsidR="009D55F4">
        <w:rPr>
          <w:rFonts w:ascii="Times New Roman" w:hAnsi="Times New Roman" w:cs="Times New Roman"/>
          <w:sz w:val="24"/>
          <w:szCs w:val="24"/>
        </w:rPr>
        <w:t xml:space="preserve"> from transportation re-pricing.  For example, Brookings Institution </w:t>
      </w:r>
      <w:r w:rsidR="00561CD4">
        <w:rPr>
          <w:rFonts w:ascii="Times New Roman" w:hAnsi="Times New Roman" w:cs="Times New Roman"/>
          <w:sz w:val="24"/>
          <w:szCs w:val="24"/>
        </w:rPr>
        <w:t xml:space="preserve">research </w:t>
      </w:r>
      <w:r w:rsidR="0084440D" w:rsidRPr="0084440D">
        <w:rPr>
          <w:rFonts w:ascii="Times New Roman" w:hAnsi="Times New Roman" w:cs="Times New Roman"/>
          <w:sz w:val="24"/>
          <w:szCs w:val="24"/>
        </w:rPr>
        <w:t xml:space="preserve">projected that 63.5% of households with insured vehicles (63.7% of urban households, 62.9% of rural households, and approaching 80% for the poorest of households) would save an average of 28% on their total premiums, or about $496 annually for households that do save </w:t>
      </w:r>
      <w:r w:rsidR="0084440D">
        <w:rPr>
          <w:rFonts w:ascii="Times New Roman" w:hAnsi="Times New Roman" w:cs="Times New Roman"/>
          <w:sz w:val="24"/>
          <w:szCs w:val="24"/>
        </w:rPr>
        <w:t>with</w:t>
      </w:r>
      <w:r w:rsidR="0084440D" w:rsidRPr="0084440D">
        <w:rPr>
          <w:rFonts w:ascii="Times New Roman" w:hAnsi="Times New Roman" w:cs="Times New Roman"/>
          <w:sz w:val="24"/>
          <w:szCs w:val="24"/>
        </w:rPr>
        <w:t xml:space="preserve"> fully variable PAYDAYS premiums (Bordoff and Noel, 2008).  </w:t>
      </w:r>
    </w:p>
    <w:sectPr w:rsidR="0095340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E1FF2" w14:textId="77777777" w:rsidR="007D31DF" w:rsidRDefault="007D31DF" w:rsidP="004A0EBF">
      <w:pPr>
        <w:spacing w:after="0" w:line="240" w:lineRule="auto"/>
      </w:pPr>
      <w:r>
        <w:separator/>
      </w:r>
    </w:p>
  </w:endnote>
  <w:endnote w:type="continuationSeparator" w:id="0">
    <w:p w14:paraId="1D1F969A" w14:textId="77777777" w:rsidR="007D31DF" w:rsidRDefault="007D31DF" w:rsidP="004A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999607"/>
      <w:docPartObj>
        <w:docPartGallery w:val="Page Numbers (Bottom of Page)"/>
        <w:docPartUnique/>
      </w:docPartObj>
    </w:sdtPr>
    <w:sdtEndPr>
      <w:rPr>
        <w:noProof/>
      </w:rPr>
    </w:sdtEndPr>
    <w:sdtContent>
      <w:p w14:paraId="5D4BC9D1" w14:textId="672C2863" w:rsidR="007D31DF" w:rsidRDefault="007D31DF">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B7CB804" w14:textId="77777777" w:rsidR="007D31DF" w:rsidRDefault="007D3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9269E" w14:textId="77777777" w:rsidR="007D31DF" w:rsidRDefault="007D31DF" w:rsidP="004A0EBF">
      <w:pPr>
        <w:spacing w:after="0" w:line="240" w:lineRule="auto"/>
      </w:pPr>
      <w:r>
        <w:separator/>
      </w:r>
    </w:p>
  </w:footnote>
  <w:footnote w:type="continuationSeparator" w:id="0">
    <w:p w14:paraId="382A310A" w14:textId="77777777" w:rsidR="007D31DF" w:rsidRDefault="007D31DF" w:rsidP="004A0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B7523"/>
    <w:multiLevelType w:val="hybridMultilevel"/>
    <w:tmpl w:val="14B85614"/>
    <w:lvl w:ilvl="0" w:tplc="D84C7574">
      <w:start w:val="1"/>
      <w:numFmt w:val="bullet"/>
      <w:lvlText w:val="»"/>
      <w:lvlJc w:val="left"/>
      <w:pPr>
        <w:tabs>
          <w:tab w:val="num" w:pos="720"/>
        </w:tabs>
        <w:ind w:left="720" w:hanging="360"/>
      </w:pPr>
      <w:rPr>
        <w:rFonts w:ascii="Gill Sans MT" w:hAnsi="Gill Sans MT" w:hint="default"/>
      </w:rPr>
    </w:lvl>
    <w:lvl w:ilvl="1" w:tplc="5B427D24" w:tentative="1">
      <w:start w:val="1"/>
      <w:numFmt w:val="bullet"/>
      <w:lvlText w:val="»"/>
      <w:lvlJc w:val="left"/>
      <w:pPr>
        <w:tabs>
          <w:tab w:val="num" w:pos="1440"/>
        </w:tabs>
        <w:ind w:left="1440" w:hanging="360"/>
      </w:pPr>
      <w:rPr>
        <w:rFonts w:ascii="Gill Sans MT" w:hAnsi="Gill Sans MT" w:hint="default"/>
      </w:rPr>
    </w:lvl>
    <w:lvl w:ilvl="2" w:tplc="68C81E46" w:tentative="1">
      <w:start w:val="1"/>
      <w:numFmt w:val="bullet"/>
      <w:lvlText w:val="»"/>
      <w:lvlJc w:val="left"/>
      <w:pPr>
        <w:tabs>
          <w:tab w:val="num" w:pos="2160"/>
        </w:tabs>
        <w:ind w:left="2160" w:hanging="360"/>
      </w:pPr>
      <w:rPr>
        <w:rFonts w:ascii="Gill Sans MT" w:hAnsi="Gill Sans MT" w:hint="default"/>
      </w:rPr>
    </w:lvl>
    <w:lvl w:ilvl="3" w:tplc="EC8C4F9E" w:tentative="1">
      <w:start w:val="1"/>
      <w:numFmt w:val="bullet"/>
      <w:lvlText w:val="»"/>
      <w:lvlJc w:val="left"/>
      <w:pPr>
        <w:tabs>
          <w:tab w:val="num" w:pos="2880"/>
        </w:tabs>
        <w:ind w:left="2880" w:hanging="360"/>
      </w:pPr>
      <w:rPr>
        <w:rFonts w:ascii="Gill Sans MT" w:hAnsi="Gill Sans MT" w:hint="default"/>
      </w:rPr>
    </w:lvl>
    <w:lvl w:ilvl="4" w:tplc="CD860762" w:tentative="1">
      <w:start w:val="1"/>
      <w:numFmt w:val="bullet"/>
      <w:lvlText w:val="»"/>
      <w:lvlJc w:val="left"/>
      <w:pPr>
        <w:tabs>
          <w:tab w:val="num" w:pos="3600"/>
        </w:tabs>
        <w:ind w:left="3600" w:hanging="360"/>
      </w:pPr>
      <w:rPr>
        <w:rFonts w:ascii="Gill Sans MT" w:hAnsi="Gill Sans MT" w:hint="default"/>
      </w:rPr>
    </w:lvl>
    <w:lvl w:ilvl="5" w:tplc="8FEE201E" w:tentative="1">
      <w:start w:val="1"/>
      <w:numFmt w:val="bullet"/>
      <w:lvlText w:val="»"/>
      <w:lvlJc w:val="left"/>
      <w:pPr>
        <w:tabs>
          <w:tab w:val="num" w:pos="4320"/>
        </w:tabs>
        <w:ind w:left="4320" w:hanging="360"/>
      </w:pPr>
      <w:rPr>
        <w:rFonts w:ascii="Gill Sans MT" w:hAnsi="Gill Sans MT" w:hint="default"/>
      </w:rPr>
    </w:lvl>
    <w:lvl w:ilvl="6" w:tplc="6EE24D84" w:tentative="1">
      <w:start w:val="1"/>
      <w:numFmt w:val="bullet"/>
      <w:lvlText w:val="»"/>
      <w:lvlJc w:val="left"/>
      <w:pPr>
        <w:tabs>
          <w:tab w:val="num" w:pos="5040"/>
        </w:tabs>
        <w:ind w:left="5040" w:hanging="360"/>
      </w:pPr>
      <w:rPr>
        <w:rFonts w:ascii="Gill Sans MT" w:hAnsi="Gill Sans MT" w:hint="default"/>
      </w:rPr>
    </w:lvl>
    <w:lvl w:ilvl="7" w:tplc="3A44A304" w:tentative="1">
      <w:start w:val="1"/>
      <w:numFmt w:val="bullet"/>
      <w:lvlText w:val="»"/>
      <w:lvlJc w:val="left"/>
      <w:pPr>
        <w:tabs>
          <w:tab w:val="num" w:pos="5760"/>
        </w:tabs>
        <w:ind w:left="5760" w:hanging="360"/>
      </w:pPr>
      <w:rPr>
        <w:rFonts w:ascii="Gill Sans MT" w:hAnsi="Gill Sans MT" w:hint="default"/>
      </w:rPr>
    </w:lvl>
    <w:lvl w:ilvl="8" w:tplc="3A620C5C" w:tentative="1">
      <w:start w:val="1"/>
      <w:numFmt w:val="bullet"/>
      <w:lvlText w:val="»"/>
      <w:lvlJc w:val="left"/>
      <w:pPr>
        <w:tabs>
          <w:tab w:val="num" w:pos="6480"/>
        </w:tabs>
        <w:ind w:left="6480" w:hanging="360"/>
      </w:pPr>
      <w:rPr>
        <w:rFonts w:ascii="Gill Sans MT" w:hAnsi="Gill Sans MT" w:hint="default"/>
      </w:rPr>
    </w:lvl>
  </w:abstractNum>
  <w:abstractNum w:abstractNumId="1" w15:restartNumberingAfterBreak="0">
    <w:nsid w:val="69CB546F"/>
    <w:multiLevelType w:val="hybridMultilevel"/>
    <w:tmpl w:val="C09EEBBE"/>
    <w:lvl w:ilvl="0" w:tplc="90FA6798">
      <w:start w:val="1"/>
      <w:numFmt w:val="bullet"/>
      <w:lvlText w:val="»"/>
      <w:lvlJc w:val="left"/>
      <w:pPr>
        <w:tabs>
          <w:tab w:val="num" w:pos="720"/>
        </w:tabs>
        <w:ind w:left="720" w:hanging="360"/>
      </w:pPr>
      <w:rPr>
        <w:rFonts w:ascii="Gill Sans MT" w:hAnsi="Gill Sans MT" w:hint="default"/>
      </w:rPr>
    </w:lvl>
    <w:lvl w:ilvl="1" w:tplc="C004FAF4" w:tentative="1">
      <w:start w:val="1"/>
      <w:numFmt w:val="bullet"/>
      <w:lvlText w:val="»"/>
      <w:lvlJc w:val="left"/>
      <w:pPr>
        <w:tabs>
          <w:tab w:val="num" w:pos="1440"/>
        </w:tabs>
        <w:ind w:left="1440" w:hanging="360"/>
      </w:pPr>
      <w:rPr>
        <w:rFonts w:ascii="Gill Sans MT" w:hAnsi="Gill Sans MT" w:hint="default"/>
      </w:rPr>
    </w:lvl>
    <w:lvl w:ilvl="2" w:tplc="E752F7DA" w:tentative="1">
      <w:start w:val="1"/>
      <w:numFmt w:val="bullet"/>
      <w:lvlText w:val="»"/>
      <w:lvlJc w:val="left"/>
      <w:pPr>
        <w:tabs>
          <w:tab w:val="num" w:pos="2160"/>
        </w:tabs>
        <w:ind w:left="2160" w:hanging="360"/>
      </w:pPr>
      <w:rPr>
        <w:rFonts w:ascii="Gill Sans MT" w:hAnsi="Gill Sans MT" w:hint="default"/>
      </w:rPr>
    </w:lvl>
    <w:lvl w:ilvl="3" w:tplc="FCA4BA5A" w:tentative="1">
      <w:start w:val="1"/>
      <w:numFmt w:val="bullet"/>
      <w:lvlText w:val="»"/>
      <w:lvlJc w:val="left"/>
      <w:pPr>
        <w:tabs>
          <w:tab w:val="num" w:pos="2880"/>
        </w:tabs>
        <w:ind w:left="2880" w:hanging="360"/>
      </w:pPr>
      <w:rPr>
        <w:rFonts w:ascii="Gill Sans MT" w:hAnsi="Gill Sans MT" w:hint="default"/>
      </w:rPr>
    </w:lvl>
    <w:lvl w:ilvl="4" w:tplc="87DC8048" w:tentative="1">
      <w:start w:val="1"/>
      <w:numFmt w:val="bullet"/>
      <w:lvlText w:val="»"/>
      <w:lvlJc w:val="left"/>
      <w:pPr>
        <w:tabs>
          <w:tab w:val="num" w:pos="3600"/>
        </w:tabs>
        <w:ind w:left="3600" w:hanging="360"/>
      </w:pPr>
      <w:rPr>
        <w:rFonts w:ascii="Gill Sans MT" w:hAnsi="Gill Sans MT" w:hint="default"/>
      </w:rPr>
    </w:lvl>
    <w:lvl w:ilvl="5" w:tplc="ABAEB1C8" w:tentative="1">
      <w:start w:val="1"/>
      <w:numFmt w:val="bullet"/>
      <w:lvlText w:val="»"/>
      <w:lvlJc w:val="left"/>
      <w:pPr>
        <w:tabs>
          <w:tab w:val="num" w:pos="4320"/>
        </w:tabs>
        <w:ind w:left="4320" w:hanging="360"/>
      </w:pPr>
      <w:rPr>
        <w:rFonts w:ascii="Gill Sans MT" w:hAnsi="Gill Sans MT" w:hint="default"/>
      </w:rPr>
    </w:lvl>
    <w:lvl w:ilvl="6" w:tplc="D24C45FE" w:tentative="1">
      <w:start w:val="1"/>
      <w:numFmt w:val="bullet"/>
      <w:lvlText w:val="»"/>
      <w:lvlJc w:val="left"/>
      <w:pPr>
        <w:tabs>
          <w:tab w:val="num" w:pos="5040"/>
        </w:tabs>
        <w:ind w:left="5040" w:hanging="360"/>
      </w:pPr>
      <w:rPr>
        <w:rFonts w:ascii="Gill Sans MT" w:hAnsi="Gill Sans MT" w:hint="default"/>
      </w:rPr>
    </w:lvl>
    <w:lvl w:ilvl="7" w:tplc="81B46D80" w:tentative="1">
      <w:start w:val="1"/>
      <w:numFmt w:val="bullet"/>
      <w:lvlText w:val="»"/>
      <w:lvlJc w:val="left"/>
      <w:pPr>
        <w:tabs>
          <w:tab w:val="num" w:pos="5760"/>
        </w:tabs>
        <w:ind w:left="5760" w:hanging="360"/>
      </w:pPr>
      <w:rPr>
        <w:rFonts w:ascii="Gill Sans MT" w:hAnsi="Gill Sans MT" w:hint="default"/>
      </w:rPr>
    </w:lvl>
    <w:lvl w:ilvl="8" w:tplc="36363AC6" w:tentative="1">
      <w:start w:val="1"/>
      <w:numFmt w:val="bullet"/>
      <w:lvlText w:val="»"/>
      <w:lvlJc w:val="left"/>
      <w:pPr>
        <w:tabs>
          <w:tab w:val="num" w:pos="6480"/>
        </w:tabs>
        <w:ind w:left="6480" w:hanging="360"/>
      </w:pPr>
      <w:rPr>
        <w:rFonts w:ascii="Gill Sans MT" w:hAnsi="Gill Sans M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264"/>
    <w:rsid w:val="00003099"/>
    <w:rsid w:val="00011582"/>
    <w:rsid w:val="00044DA4"/>
    <w:rsid w:val="0005139E"/>
    <w:rsid w:val="00065739"/>
    <w:rsid w:val="0006616F"/>
    <w:rsid w:val="00066DFA"/>
    <w:rsid w:val="00072313"/>
    <w:rsid w:val="0009036E"/>
    <w:rsid w:val="00096106"/>
    <w:rsid w:val="000A384B"/>
    <w:rsid w:val="000A59CB"/>
    <w:rsid w:val="000B3248"/>
    <w:rsid w:val="000D27A0"/>
    <w:rsid w:val="000D6F1F"/>
    <w:rsid w:val="000E2183"/>
    <w:rsid w:val="0010096F"/>
    <w:rsid w:val="001014AF"/>
    <w:rsid w:val="00104F0F"/>
    <w:rsid w:val="0010524E"/>
    <w:rsid w:val="0010714F"/>
    <w:rsid w:val="00107560"/>
    <w:rsid w:val="00114739"/>
    <w:rsid w:val="00122459"/>
    <w:rsid w:val="0015495C"/>
    <w:rsid w:val="001551E2"/>
    <w:rsid w:val="00170A37"/>
    <w:rsid w:val="001773B8"/>
    <w:rsid w:val="00180831"/>
    <w:rsid w:val="00180FEB"/>
    <w:rsid w:val="00181254"/>
    <w:rsid w:val="00183DC5"/>
    <w:rsid w:val="0018553F"/>
    <w:rsid w:val="0018593E"/>
    <w:rsid w:val="00186A8E"/>
    <w:rsid w:val="001877F8"/>
    <w:rsid w:val="00192EE8"/>
    <w:rsid w:val="001A04B4"/>
    <w:rsid w:val="001B20A6"/>
    <w:rsid w:val="001C492E"/>
    <w:rsid w:val="001E0A07"/>
    <w:rsid w:val="002011C2"/>
    <w:rsid w:val="002041EC"/>
    <w:rsid w:val="00210068"/>
    <w:rsid w:val="002162BA"/>
    <w:rsid w:val="00225C89"/>
    <w:rsid w:val="002327C0"/>
    <w:rsid w:val="00275FD1"/>
    <w:rsid w:val="002932D1"/>
    <w:rsid w:val="002B6778"/>
    <w:rsid w:val="002C5932"/>
    <w:rsid w:val="002E2420"/>
    <w:rsid w:val="002E5375"/>
    <w:rsid w:val="002F01E2"/>
    <w:rsid w:val="002F5615"/>
    <w:rsid w:val="00310BE1"/>
    <w:rsid w:val="003161C4"/>
    <w:rsid w:val="00320AC5"/>
    <w:rsid w:val="00324FD7"/>
    <w:rsid w:val="00331427"/>
    <w:rsid w:val="00340E51"/>
    <w:rsid w:val="003473C9"/>
    <w:rsid w:val="00354E79"/>
    <w:rsid w:val="00363F99"/>
    <w:rsid w:val="00373316"/>
    <w:rsid w:val="003A2E5D"/>
    <w:rsid w:val="003D017B"/>
    <w:rsid w:val="003E309B"/>
    <w:rsid w:val="003E518D"/>
    <w:rsid w:val="003F69CB"/>
    <w:rsid w:val="004140DA"/>
    <w:rsid w:val="0043085C"/>
    <w:rsid w:val="004453A0"/>
    <w:rsid w:val="004528D2"/>
    <w:rsid w:val="00457A9D"/>
    <w:rsid w:val="00460EBD"/>
    <w:rsid w:val="004733B6"/>
    <w:rsid w:val="00494F0F"/>
    <w:rsid w:val="0049767A"/>
    <w:rsid w:val="004A0EBF"/>
    <w:rsid w:val="004B17CF"/>
    <w:rsid w:val="004F0CA6"/>
    <w:rsid w:val="004F4429"/>
    <w:rsid w:val="004F592D"/>
    <w:rsid w:val="00537FAD"/>
    <w:rsid w:val="0054070C"/>
    <w:rsid w:val="00541071"/>
    <w:rsid w:val="005572F9"/>
    <w:rsid w:val="005612FA"/>
    <w:rsid w:val="00561CD4"/>
    <w:rsid w:val="00581F0C"/>
    <w:rsid w:val="005874CF"/>
    <w:rsid w:val="00593F4E"/>
    <w:rsid w:val="005B1585"/>
    <w:rsid w:val="005B51FD"/>
    <w:rsid w:val="005C64ED"/>
    <w:rsid w:val="005E2334"/>
    <w:rsid w:val="005E5A7D"/>
    <w:rsid w:val="005F018E"/>
    <w:rsid w:val="005F05D2"/>
    <w:rsid w:val="005F08DB"/>
    <w:rsid w:val="00611D2E"/>
    <w:rsid w:val="00613A16"/>
    <w:rsid w:val="006160DA"/>
    <w:rsid w:val="006264B6"/>
    <w:rsid w:val="006321DC"/>
    <w:rsid w:val="006354B7"/>
    <w:rsid w:val="00640EFE"/>
    <w:rsid w:val="006428B4"/>
    <w:rsid w:val="00646919"/>
    <w:rsid w:val="006503D0"/>
    <w:rsid w:val="00656B68"/>
    <w:rsid w:val="00667799"/>
    <w:rsid w:val="006817B4"/>
    <w:rsid w:val="00691B71"/>
    <w:rsid w:val="006927F8"/>
    <w:rsid w:val="006966BA"/>
    <w:rsid w:val="006A4BDA"/>
    <w:rsid w:val="006E6C4C"/>
    <w:rsid w:val="006F2570"/>
    <w:rsid w:val="006F6D80"/>
    <w:rsid w:val="00700949"/>
    <w:rsid w:val="00700C04"/>
    <w:rsid w:val="00702EF4"/>
    <w:rsid w:val="007126C1"/>
    <w:rsid w:val="007352A9"/>
    <w:rsid w:val="00737BD6"/>
    <w:rsid w:val="007616C4"/>
    <w:rsid w:val="007631D0"/>
    <w:rsid w:val="00766CDF"/>
    <w:rsid w:val="007675C7"/>
    <w:rsid w:val="00767A26"/>
    <w:rsid w:val="007704D0"/>
    <w:rsid w:val="00773D98"/>
    <w:rsid w:val="00794E48"/>
    <w:rsid w:val="007A15DB"/>
    <w:rsid w:val="007B2714"/>
    <w:rsid w:val="007D31DF"/>
    <w:rsid w:val="007E5200"/>
    <w:rsid w:val="007F3C91"/>
    <w:rsid w:val="00800E77"/>
    <w:rsid w:val="008132F9"/>
    <w:rsid w:val="00822394"/>
    <w:rsid w:val="008240E9"/>
    <w:rsid w:val="0084440D"/>
    <w:rsid w:val="00845190"/>
    <w:rsid w:val="0087566F"/>
    <w:rsid w:val="00876FF0"/>
    <w:rsid w:val="0088025A"/>
    <w:rsid w:val="00880676"/>
    <w:rsid w:val="008812CE"/>
    <w:rsid w:val="00897F06"/>
    <w:rsid w:val="008B077C"/>
    <w:rsid w:val="008C288F"/>
    <w:rsid w:val="008E1DF6"/>
    <w:rsid w:val="008E377E"/>
    <w:rsid w:val="008E6030"/>
    <w:rsid w:val="008F475D"/>
    <w:rsid w:val="009065E4"/>
    <w:rsid w:val="00916C10"/>
    <w:rsid w:val="00916FDD"/>
    <w:rsid w:val="009206E0"/>
    <w:rsid w:val="009250D7"/>
    <w:rsid w:val="00927072"/>
    <w:rsid w:val="009360CE"/>
    <w:rsid w:val="0094386B"/>
    <w:rsid w:val="0095340B"/>
    <w:rsid w:val="009614EB"/>
    <w:rsid w:val="009634A6"/>
    <w:rsid w:val="009704E3"/>
    <w:rsid w:val="009771AC"/>
    <w:rsid w:val="00981528"/>
    <w:rsid w:val="009A0A4D"/>
    <w:rsid w:val="009A5264"/>
    <w:rsid w:val="009B6634"/>
    <w:rsid w:val="009C1718"/>
    <w:rsid w:val="009C6A4A"/>
    <w:rsid w:val="009D4642"/>
    <w:rsid w:val="009D55F4"/>
    <w:rsid w:val="009E4F44"/>
    <w:rsid w:val="009E4F82"/>
    <w:rsid w:val="009E680E"/>
    <w:rsid w:val="00A009C6"/>
    <w:rsid w:val="00A139F7"/>
    <w:rsid w:val="00A17EE1"/>
    <w:rsid w:val="00A32BD6"/>
    <w:rsid w:val="00A35814"/>
    <w:rsid w:val="00A41A6C"/>
    <w:rsid w:val="00A554D6"/>
    <w:rsid w:val="00A5793E"/>
    <w:rsid w:val="00A706B0"/>
    <w:rsid w:val="00A74288"/>
    <w:rsid w:val="00A74A9B"/>
    <w:rsid w:val="00A759DC"/>
    <w:rsid w:val="00A76FC0"/>
    <w:rsid w:val="00A94BCC"/>
    <w:rsid w:val="00AB277A"/>
    <w:rsid w:val="00AB3489"/>
    <w:rsid w:val="00AC36CC"/>
    <w:rsid w:val="00AD09FB"/>
    <w:rsid w:val="00AD778F"/>
    <w:rsid w:val="00AF57FD"/>
    <w:rsid w:val="00B26FB4"/>
    <w:rsid w:val="00B61156"/>
    <w:rsid w:val="00B81E8C"/>
    <w:rsid w:val="00B82498"/>
    <w:rsid w:val="00B825F2"/>
    <w:rsid w:val="00B91247"/>
    <w:rsid w:val="00B96A5A"/>
    <w:rsid w:val="00BA23E9"/>
    <w:rsid w:val="00BA319D"/>
    <w:rsid w:val="00BA76D1"/>
    <w:rsid w:val="00BB09BF"/>
    <w:rsid w:val="00BC2B08"/>
    <w:rsid w:val="00BC2F66"/>
    <w:rsid w:val="00BE4C2C"/>
    <w:rsid w:val="00C06F8E"/>
    <w:rsid w:val="00C30785"/>
    <w:rsid w:val="00C31516"/>
    <w:rsid w:val="00C32F94"/>
    <w:rsid w:val="00C35F62"/>
    <w:rsid w:val="00C43580"/>
    <w:rsid w:val="00C76490"/>
    <w:rsid w:val="00C80AE6"/>
    <w:rsid w:val="00C831A1"/>
    <w:rsid w:val="00C863DF"/>
    <w:rsid w:val="00C8649E"/>
    <w:rsid w:val="00C97D14"/>
    <w:rsid w:val="00CB2021"/>
    <w:rsid w:val="00CC0AF6"/>
    <w:rsid w:val="00CC733F"/>
    <w:rsid w:val="00CE054D"/>
    <w:rsid w:val="00CE6ABB"/>
    <w:rsid w:val="00CF69E4"/>
    <w:rsid w:val="00CF6CEC"/>
    <w:rsid w:val="00D00D22"/>
    <w:rsid w:val="00D11EEB"/>
    <w:rsid w:val="00D13340"/>
    <w:rsid w:val="00D20476"/>
    <w:rsid w:val="00D36D51"/>
    <w:rsid w:val="00D442E9"/>
    <w:rsid w:val="00D46B4B"/>
    <w:rsid w:val="00D473DB"/>
    <w:rsid w:val="00D5190D"/>
    <w:rsid w:val="00D63411"/>
    <w:rsid w:val="00D63E36"/>
    <w:rsid w:val="00D648B2"/>
    <w:rsid w:val="00D66F01"/>
    <w:rsid w:val="00D718C1"/>
    <w:rsid w:val="00D73C44"/>
    <w:rsid w:val="00D83406"/>
    <w:rsid w:val="00D84C64"/>
    <w:rsid w:val="00D91C40"/>
    <w:rsid w:val="00D92CFF"/>
    <w:rsid w:val="00D92EDD"/>
    <w:rsid w:val="00DA4139"/>
    <w:rsid w:val="00DB0B2A"/>
    <w:rsid w:val="00DD608C"/>
    <w:rsid w:val="00DF104D"/>
    <w:rsid w:val="00E02FD3"/>
    <w:rsid w:val="00E179CF"/>
    <w:rsid w:val="00E21F92"/>
    <w:rsid w:val="00E23710"/>
    <w:rsid w:val="00E2471D"/>
    <w:rsid w:val="00E3008D"/>
    <w:rsid w:val="00E4232B"/>
    <w:rsid w:val="00E435E7"/>
    <w:rsid w:val="00E5185B"/>
    <w:rsid w:val="00E54B07"/>
    <w:rsid w:val="00E5753D"/>
    <w:rsid w:val="00E612A8"/>
    <w:rsid w:val="00E654C6"/>
    <w:rsid w:val="00E74B9C"/>
    <w:rsid w:val="00E80885"/>
    <w:rsid w:val="00E8333A"/>
    <w:rsid w:val="00E90A05"/>
    <w:rsid w:val="00E91612"/>
    <w:rsid w:val="00E92452"/>
    <w:rsid w:val="00E96CA7"/>
    <w:rsid w:val="00EA5D58"/>
    <w:rsid w:val="00EB0A65"/>
    <w:rsid w:val="00EC7930"/>
    <w:rsid w:val="00EC794C"/>
    <w:rsid w:val="00ED2B01"/>
    <w:rsid w:val="00EE6A99"/>
    <w:rsid w:val="00F0488F"/>
    <w:rsid w:val="00F078D8"/>
    <w:rsid w:val="00F102D9"/>
    <w:rsid w:val="00F3057B"/>
    <w:rsid w:val="00F45F6F"/>
    <w:rsid w:val="00F469EF"/>
    <w:rsid w:val="00F54FC7"/>
    <w:rsid w:val="00F578B8"/>
    <w:rsid w:val="00F57A19"/>
    <w:rsid w:val="00FA15A2"/>
    <w:rsid w:val="00FB19B1"/>
    <w:rsid w:val="00FB3DBB"/>
    <w:rsid w:val="00FC313F"/>
    <w:rsid w:val="00FC429B"/>
    <w:rsid w:val="00FC6222"/>
    <w:rsid w:val="00FD3A25"/>
    <w:rsid w:val="00FD3A89"/>
    <w:rsid w:val="00FD568D"/>
    <w:rsid w:val="00FE47A3"/>
    <w:rsid w:val="00FF024F"/>
    <w:rsid w:val="00FF0D37"/>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553E65"/>
  <w15:chartTrackingRefBased/>
  <w15:docId w15:val="{7D8746DE-8C69-4710-AC7B-BD35D2AF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EBF"/>
    <w:rPr>
      <w:rFonts w:ascii="Segoe UI" w:hAnsi="Segoe UI" w:cs="Segoe UI"/>
      <w:sz w:val="18"/>
      <w:szCs w:val="18"/>
    </w:rPr>
  </w:style>
  <w:style w:type="character" w:styleId="Hyperlink">
    <w:name w:val="Hyperlink"/>
    <w:basedOn w:val="DefaultParagraphFont"/>
    <w:uiPriority w:val="99"/>
    <w:unhideWhenUsed/>
    <w:rsid w:val="004A0EBF"/>
    <w:rPr>
      <w:color w:val="0563C1" w:themeColor="hyperlink"/>
      <w:u w:val="single"/>
    </w:rPr>
  </w:style>
  <w:style w:type="character" w:customStyle="1" w:styleId="UnresolvedMention1">
    <w:name w:val="Unresolved Mention1"/>
    <w:basedOn w:val="DefaultParagraphFont"/>
    <w:uiPriority w:val="99"/>
    <w:semiHidden/>
    <w:unhideWhenUsed/>
    <w:rsid w:val="004A0EBF"/>
    <w:rPr>
      <w:color w:val="605E5C"/>
      <w:shd w:val="clear" w:color="auto" w:fill="E1DFDD"/>
    </w:rPr>
  </w:style>
  <w:style w:type="paragraph" w:styleId="BodyText">
    <w:name w:val="Body Text"/>
    <w:aliases w:val="bt"/>
    <w:basedOn w:val="Normal"/>
    <w:next w:val="Normal"/>
    <w:link w:val="BodyTextChar"/>
    <w:rsid w:val="004A0EBF"/>
    <w:pPr>
      <w:spacing w:after="0" w:line="240" w:lineRule="auto"/>
      <w:ind w:firstLine="720"/>
    </w:pPr>
    <w:rPr>
      <w:rFonts w:eastAsia="Times New Roman" w:cs="Times New Roman"/>
      <w:sz w:val="20"/>
      <w:szCs w:val="24"/>
    </w:rPr>
  </w:style>
  <w:style w:type="character" w:customStyle="1" w:styleId="BodyTextChar">
    <w:name w:val="Body Text Char"/>
    <w:aliases w:val="bt Char"/>
    <w:basedOn w:val="DefaultParagraphFont"/>
    <w:link w:val="BodyText"/>
    <w:rsid w:val="004A0EBF"/>
    <w:rPr>
      <w:rFonts w:eastAsia="Times New Roman" w:cs="Times New Roman"/>
      <w:sz w:val="20"/>
      <w:szCs w:val="24"/>
    </w:rPr>
  </w:style>
  <w:style w:type="paragraph" w:styleId="FootnoteText">
    <w:name w:val="footnote text"/>
    <w:basedOn w:val="Normal"/>
    <w:link w:val="FootnoteTextChar"/>
    <w:uiPriority w:val="99"/>
    <w:semiHidden/>
    <w:unhideWhenUsed/>
    <w:rsid w:val="004A0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EBF"/>
    <w:rPr>
      <w:sz w:val="20"/>
      <w:szCs w:val="20"/>
    </w:rPr>
  </w:style>
  <w:style w:type="character" w:styleId="FootnoteReference">
    <w:name w:val="footnote reference"/>
    <w:basedOn w:val="DefaultParagraphFont"/>
    <w:uiPriority w:val="99"/>
    <w:semiHidden/>
    <w:unhideWhenUsed/>
    <w:rsid w:val="004A0EBF"/>
    <w:rPr>
      <w:vertAlign w:val="superscript"/>
    </w:rPr>
  </w:style>
  <w:style w:type="paragraph" w:styleId="ListParagraph">
    <w:name w:val="List Paragraph"/>
    <w:basedOn w:val="Normal"/>
    <w:uiPriority w:val="34"/>
    <w:qFormat/>
    <w:rsid w:val="000D6F1F"/>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675C7"/>
    <w:rPr>
      <w:color w:val="605E5C"/>
      <w:shd w:val="clear" w:color="auto" w:fill="E1DFDD"/>
    </w:rPr>
  </w:style>
  <w:style w:type="character" w:styleId="HTMLTypewriter">
    <w:name w:val="HTML Typewriter"/>
    <w:rsid w:val="0084440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63411"/>
    <w:rPr>
      <w:sz w:val="16"/>
      <w:szCs w:val="16"/>
    </w:rPr>
  </w:style>
  <w:style w:type="paragraph" w:styleId="CommentText">
    <w:name w:val="annotation text"/>
    <w:basedOn w:val="Normal"/>
    <w:link w:val="CommentTextChar"/>
    <w:uiPriority w:val="99"/>
    <w:semiHidden/>
    <w:unhideWhenUsed/>
    <w:rsid w:val="00D63411"/>
    <w:pPr>
      <w:spacing w:line="240" w:lineRule="auto"/>
    </w:pPr>
    <w:rPr>
      <w:sz w:val="20"/>
      <w:szCs w:val="20"/>
    </w:rPr>
  </w:style>
  <w:style w:type="character" w:customStyle="1" w:styleId="CommentTextChar">
    <w:name w:val="Comment Text Char"/>
    <w:basedOn w:val="DefaultParagraphFont"/>
    <w:link w:val="CommentText"/>
    <w:uiPriority w:val="99"/>
    <w:semiHidden/>
    <w:rsid w:val="00D63411"/>
    <w:rPr>
      <w:sz w:val="20"/>
      <w:szCs w:val="20"/>
    </w:rPr>
  </w:style>
  <w:style w:type="paragraph" w:styleId="CommentSubject">
    <w:name w:val="annotation subject"/>
    <w:basedOn w:val="CommentText"/>
    <w:next w:val="CommentText"/>
    <w:link w:val="CommentSubjectChar"/>
    <w:uiPriority w:val="99"/>
    <w:semiHidden/>
    <w:unhideWhenUsed/>
    <w:rsid w:val="00D63411"/>
    <w:rPr>
      <w:b/>
      <w:bCs/>
    </w:rPr>
  </w:style>
  <w:style w:type="character" w:customStyle="1" w:styleId="CommentSubjectChar">
    <w:name w:val="Comment Subject Char"/>
    <w:basedOn w:val="CommentTextChar"/>
    <w:link w:val="CommentSubject"/>
    <w:uiPriority w:val="99"/>
    <w:semiHidden/>
    <w:rsid w:val="00D63411"/>
    <w:rPr>
      <w:b/>
      <w:bCs/>
      <w:sz w:val="20"/>
      <w:szCs w:val="20"/>
    </w:rPr>
  </w:style>
  <w:style w:type="paragraph" w:styleId="Header">
    <w:name w:val="header"/>
    <w:basedOn w:val="Normal"/>
    <w:link w:val="HeaderChar"/>
    <w:uiPriority w:val="99"/>
    <w:unhideWhenUsed/>
    <w:rsid w:val="003F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CB"/>
  </w:style>
  <w:style w:type="paragraph" w:styleId="Footer">
    <w:name w:val="footer"/>
    <w:basedOn w:val="Normal"/>
    <w:link w:val="FooterChar"/>
    <w:uiPriority w:val="99"/>
    <w:unhideWhenUsed/>
    <w:rsid w:val="003F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264599">
      <w:bodyDiv w:val="1"/>
      <w:marLeft w:val="0"/>
      <w:marRight w:val="0"/>
      <w:marTop w:val="0"/>
      <w:marBottom w:val="0"/>
      <w:divBdr>
        <w:top w:val="none" w:sz="0" w:space="0" w:color="auto"/>
        <w:left w:val="none" w:sz="0" w:space="0" w:color="auto"/>
        <w:bottom w:val="none" w:sz="0" w:space="0" w:color="auto"/>
        <w:right w:val="none" w:sz="0" w:space="0" w:color="auto"/>
      </w:divBdr>
      <w:divsChild>
        <w:div w:id="449320135">
          <w:marLeft w:val="547"/>
          <w:marRight w:val="0"/>
          <w:marTop w:val="288"/>
          <w:marBottom w:val="0"/>
          <w:divBdr>
            <w:top w:val="none" w:sz="0" w:space="0" w:color="auto"/>
            <w:left w:val="none" w:sz="0" w:space="0" w:color="auto"/>
            <w:bottom w:val="none" w:sz="0" w:space="0" w:color="auto"/>
            <w:right w:val="none" w:sz="0" w:space="0" w:color="auto"/>
          </w:divBdr>
        </w:div>
      </w:divsChild>
    </w:div>
    <w:div w:id="1162544515">
      <w:bodyDiv w:val="1"/>
      <w:marLeft w:val="0"/>
      <w:marRight w:val="0"/>
      <w:marTop w:val="0"/>
      <w:marBottom w:val="0"/>
      <w:divBdr>
        <w:top w:val="none" w:sz="0" w:space="0" w:color="auto"/>
        <w:left w:val="none" w:sz="0" w:space="0" w:color="auto"/>
        <w:bottom w:val="none" w:sz="0" w:space="0" w:color="auto"/>
        <w:right w:val="none" w:sz="0" w:space="0" w:color="auto"/>
      </w:divBdr>
      <w:divsChild>
        <w:div w:id="791560219">
          <w:marLeft w:val="547"/>
          <w:marRight w:val="0"/>
          <w:marTop w:val="240"/>
          <w:marBottom w:val="0"/>
          <w:divBdr>
            <w:top w:val="none" w:sz="0" w:space="0" w:color="auto"/>
            <w:left w:val="none" w:sz="0" w:space="0" w:color="auto"/>
            <w:bottom w:val="none" w:sz="0" w:space="0" w:color="auto"/>
            <w:right w:val="none" w:sz="0" w:space="0" w:color="auto"/>
          </w:divBdr>
        </w:div>
        <w:div w:id="1434084653">
          <w:marLeft w:val="547"/>
          <w:marRight w:val="0"/>
          <w:marTop w:val="240"/>
          <w:marBottom w:val="0"/>
          <w:divBdr>
            <w:top w:val="none" w:sz="0" w:space="0" w:color="auto"/>
            <w:left w:val="none" w:sz="0" w:space="0" w:color="auto"/>
            <w:bottom w:val="none" w:sz="0" w:space="0" w:color="auto"/>
            <w:right w:val="none" w:sz="0" w:space="0" w:color="auto"/>
          </w:divBdr>
        </w:div>
        <w:div w:id="1762221705">
          <w:marLeft w:val="547"/>
          <w:marRight w:val="0"/>
          <w:marTop w:val="240"/>
          <w:marBottom w:val="0"/>
          <w:divBdr>
            <w:top w:val="none" w:sz="0" w:space="0" w:color="auto"/>
            <w:left w:val="none" w:sz="0" w:space="0" w:color="auto"/>
            <w:bottom w:val="none" w:sz="0" w:space="0" w:color="auto"/>
            <w:right w:val="none" w:sz="0" w:space="0" w:color="auto"/>
          </w:divBdr>
        </w:div>
      </w:divsChild>
    </w:div>
    <w:div w:id="1396587053">
      <w:bodyDiv w:val="1"/>
      <w:marLeft w:val="0"/>
      <w:marRight w:val="0"/>
      <w:marTop w:val="0"/>
      <w:marBottom w:val="0"/>
      <w:divBdr>
        <w:top w:val="none" w:sz="0" w:space="0" w:color="auto"/>
        <w:left w:val="none" w:sz="0" w:space="0" w:color="auto"/>
        <w:bottom w:val="none" w:sz="0" w:space="0" w:color="auto"/>
        <w:right w:val="none" w:sz="0" w:space="0" w:color="auto"/>
      </w:divBdr>
      <w:divsChild>
        <w:div w:id="1952659962">
          <w:marLeft w:val="547"/>
          <w:marRight w:val="0"/>
          <w:marTop w:val="240"/>
          <w:marBottom w:val="0"/>
          <w:divBdr>
            <w:top w:val="none" w:sz="0" w:space="0" w:color="auto"/>
            <w:left w:val="none" w:sz="0" w:space="0" w:color="auto"/>
            <w:bottom w:val="none" w:sz="0" w:space="0" w:color="auto"/>
            <w:right w:val="none" w:sz="0" w:space="0" w:color="auto"/>
          </w:divBdr>
        </w:div>
      </w:divsChild>
    </w:div>
    <w:div w:id="1678460634">
      <w:bodyDiv w:val="1"/>
      <w:marLeft w:val="0"/>
      <w:marRight w:val="0"/>
      <w:marTop w:val="0"/>
      <w:marBottom w:val="0"/>
      <w:divBdr>
        <w:top w:val="none" w:sz="0" w:space="0" w:color="auto"/>
        <w:left w:val="none" w:sz="0" w:space="0" w:color="auto"/>
        <w:bottom w:val="none" w:sz="0" w:space="0" w:color="auto"/>
        <w:right w:val="none" w:sz="0" w:space="0" w:color="auto"/>
      </w:divBdr>
      <w:divsChild>
        <w:div w:id="5208355">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catp2@a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son.org/files/48d0848927c01bf5f340968091de65e9.pdf" TargetMode="External"/><Relationship Id="rId5" Type="http://schemas.openxmlformats.org/officeDocument/2006/relationships/webSettings" Target="webSettings.xml"/><Relationship Id="rId10" Type="http://schemas.openxmlformats.org/officeDocument/2006/relationships/hyperlink" Target="http://www.vtpi.org/G&amp;E_GHG.pdf" TargetMode="External"/><Relationship Id="rId4" Type="http://schemas.openxmlformats.org/officeDocument/2006/relationships/settings" Target="settings.xml"/><Relationship Id="rId9" Type="http://schemas.openxmlformats.org/officeDocument/2006/relationships/hyperlink" Target="https://journals.sagepub.com/doi/abs/10.3141/253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C458-5F65-4C64-A905-284DEB77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11865</TotalTime>
  <Pages>6</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Greenberg</dc:creator>
  <cp:keywords/>
  <dc:description/>
  <cp:lastModifiedBy>Allen Greenberg</cp:lastModifiedBy>
  <cp:revision>70</cp:revision>
  <cp:lastPrinted>2019-11-25T22:54:00Z</cp:lastPrinted>
  <dcterms:created xsi:type="dcterms:W3CDTF">2020-09-24T02:45:00Z</dcterms:created>
  <dcterms:modified xsi:type="dcterms:W3CDTF">2020-10-02T18:31:00Z</dcterms:modified>
</cp:coreProperties>
</file>