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3EC22" w14:textId="29C0357D" w:rsidR="00E92452" w:rsidRDefault="004A0EBF" w:rsidP="00D92EDD">
      <w:pPr>
        <w:rPr>
          <w:rFonts w:ascii="Times New Roman" w:hAnsi="Times New Roman" w:cs="Times New Roman"/>
          <w:sz w:val="24"/>
          <w:szCs w:val="24"/>
        </w:rPr>
      </w:pPr>
      <w:r>
        <w:rPr>
          <w:rFonts w:ascii="Times New Roman" w:hAnsi="Times New Roman" w:cs="Times New Roman"/>
          <w:b/>
          <w:bCs/>
          <w:sz w:val="24"/>
          <w:szCs w:val="24"/>
        </w:rPr>
        <w:t>To:</w:t>
      </w:r>
      <w:r w:rsidR="000B3248">
        <w:rPr>
          <w:rFonts w:ascii="Times New Roman" w:hAnsi="Times New Roman" w:cs="Times New Roman"/>
          <w:sz w:val="24"/>
          <w:szCs w:val="24"/>
        </w:rPr>
        <w:t xml:space="preserve">  Transportation </w:t>
      </w:r>
      <w:r w:rsidR="007675C7">
        <w:rPr>
          <w:rFonts w:ascii="Times New Roman" w:hAnsi="Times New Roman" w:cs="Times New Roman"/>
          <w:sz w:val="24"/>
          <w:szCs w:val="24"/>
        </w:rPr>
        <w:t>&amp; Climate Initiative Participants</w:t>
      </w:r>
    </w:p>
    <w:p w14:paraId="4FA6C38B" w14:textId="50B81446" w:rsidR="004A0EBF" w:rsidRPr="00C9424D" w:rsidRDefault="00A32BD6" w:rsidP="004A0EBF">
      <w:pPr>
        <w:rPr>
          <w:rFonts w:ascii="Times New Roman" w:hAnsi="Times New Roman" w:cs="Times New Roman"/>
          <w:sz w:val="24"/>
          <w:szCs w:val="24"/>
        </w:rPr>
      </w:pPr>
      <w:r>
        <w:rPr>
          <w:rFonts w:ascii="Times New Roman" w:hAnsi="Times New Roman" w:cs="Times New Roman"/>
          <w:b/>
          <w:bCs/>
          <w:sz w:val="24"/>
          <w:szCs w:val="24"/>
        </w:rPr>
        <w:t>From</w:t>
      </w:r>
      <w:r w:rsidR="004A0EBF">
        <w:rPr>
          <w:rFonts w:ascii="Times New Roman" w:hAnsi="Times New Roman" w:cs="Times New Roman"/>
          <w:b/>
          <w:bCs/>
          <w:sz w:val="24"/>
          <w:szCs w:val="24"/>
        </w:rPr>
        <w:t xml:space="preserve">:  </w:t>
      </w:r>
      <w:r w:rsidR="004A0EBF" w:rsidRPr="00834466">
        <w:rPr>
          <w:rFonts w:ascii="Times New Roman" w:hAnsi="Times New Roman" w:cs="Times New Roman"/>
          <w:sz w:val="24"/>
          <w:szCs w:val="24"/>
        </w:rPr>
        <w:t>Allen Greenberg</w:t>
      </w:r>
      <w:r w:rsidR="00D648B2">
        <w:rPr>
          <w:rFonts w:ascii="Times New Roman" w:hAnsi="Times New Roman" w:cs="Times New Roman"/>
          <w:sz w:val="24"/>
          <w:szCs w:val="24"/>
        </w:rPr>
        <w:t xml:space="preserve"> </w:t>
      </w:r>
      <w:r w:rsidR="004A0EBF">
        <w:rPr>
          <w:rFonts w:ascii="Times New Roman" w:hAnsi="Times New Roman" w:cs="Times New Roman"/>
          <w:sz w:val="24"/>
          <w:szCs w:val="24"/>
        </w:rPr>
        <w:t>(</w:t>
      </w:r>
      <w:hyperlink r:id="rId8" w:history="1">
        <w:r w:rsidR="004A0EBF" w:rsidRPr="008272E2">
          <w:rPr>
            <w:rStyle w:val="Hyperlink"/>
            <w:rFonts w:ascii="Times New Roman" w:hAnsi="Times New Roman" w:cs="Times New Roman"/>
            <w:sz w:val="24"/>
            <w:szCs w:val="24"/>
          </w:rPr>
          <w:t>agcatp2@aol.com</w:t>
        </w:r>
      </w:hyperlink>
      <w:r w:rsidR="004A0EBF">
        <w:rPr>
          <w:rFonts w:ascii="Times New Roman" w:hAnsi="Times New Roman" w:cs="Times New Roman"/>
          <w:sz w:val="24"/>
          <w:szCs w:val="24"/>
        </w:rPr>
        <w:t>; 202-441-2138)</w:t>
      </w:r>
    </w:p>
    <w:p w14:paraId="4BA89A9D" w14:textId="03D07479" w:rsidR="004A0EBF" w:rsidRPr="00834466" w:rsidRDefault="00A32BD6" w:rsidP="004A0EBF">
      <w:pPr>
        <w:rPr>
          <w:rFonts w:ascii="Times New Roman" w:hAnsi="Times New Roman" w:cs="Times New Roman"/>
          <w:sz w:val="24"/>
          <w:szCs w:val="24"/>
        </w:rPr>
      </w:pPr>
      <w:r>
        <w:rPr>
          <w:rFonts w:ascii="Times New Roman" w:hAnsi="Times New Roman" w:cs="Times New Roman"/>
          <w:b/>
          <w:bCs/>
          <w:sz w:val="24"/>
          <w:szCs w:val="24"/>
        </w:rPr>
        <w:t>Subject</w:t>
      </w:r>
      <w:r w:rsidR="004A0EBF">
        <w:rPr>
          <w:rFonts w:ascii="Times New Roman" w:hAnsi="Times New Roman" w:cs="Times New Roman"/>
          <w:b/>
          <w:bCs/>
          <w:sz w:val="24"/>
          <w:szCs w:val="24"/>
        </w:rPr>
        <w:t xml:space="preserve">:  </w:t>
      </w:r>
      <w:r w:rsidR="007675C7">
        <w:rPr>
          <w:rFonts w:ascii="Times New Roman" w:hAnsi="Times New Roman" w:cs="Times New Roman"/>
          <w:sz w:val="24"/>
          <w:szCs w:val="24"/>
        </w:rPr>
        <w:t>Comments on Draft MOU</w:t>
      </w:r>
      <w:r w:rsidR="000B3248">
        <w:rPr>
          <w:rFonts w:ascii="Times New Roman" w:hAnsi="Times New Roman" w:cs="Times New Roman"/>
          <w:sz w:val="24"/>
          <w:szCs w:val="24"/>
        </w:rPr>
        <w:t>—</w:t>
      </w:r>
      <w:r w:rsidR="007675C7">
        <w:rPr>
          <w:rFonts w:ascii="Times New Roman" w:hAnsi="Times New Roman" w:cs="Times New Roman"/>
          <w:sz w:val="24"/>
          <w:szCs w:val="24"/>
        </w:rPr>
        <w:t>Neglected</w:t>
      </w:r>
      <w:r w:rsidR="000B3248">
        <w:rPr>
          <w:rFonts w:ascii="Times New Roman" w:hAnsi="Times New Roman" w:cs="Times New Roman"/>
          <w:sz w:val="24"/>
          <w:szCs w:val="24"/>
        </w:rPr>
        <w:t xml:space="preserve"> </w:t>
      </w:r>
      <w:r w:rsidR="004A0EBF" w:rsidRPr="00834466">
        <w:rPr>
          <w:rFonts w:ascii="Times New Roman" w:hAnsi="Times New Roman" w:cs="Times New Roman"/>
          <w:sz w:val="24"/>
          <w:szCs w:val="24"/>
        </w:rPr>
        <w:t>Price-Shifting Strategies</w:t>
      </w:r>
      <w:r w:rsidR="007675C7">
        <w:rPr>
          <w:rFonts w:ascii="Times New Roman" w:hAnsi="Times New Roman" w:cs="Times New Roman"/>
          <w:sz w:val="24"/>
          <w:szCs w:val="24"/>
        </w:rPr>
        <w:t xml:space="preserve"> Should be Emphasized</w:t>
      </w:r>
    </w:p>
    <w:p w14:paraId="26DD3459" w14:textId="441CF229" w:rsidR="004A0EBF" w:rsidRPr="00C32F94" w:rsidRDefault="004A0EBF" w:rsidP="00C32F94">
      <w:pPr>
        <w:rPr>
          <w:rFonts w:ascii="Times New Roman" w:hAnsi="Times New Roman" w:cs="Times New Roman"/>
          <w:sz w:val="24"/>
          <w:szCs w:val="24"/>
        </w:rPr>
      </w:pPr>
      <w:r>
        <w:rPr>
          <w:rFonts w:ascii="Times New Roman" w:hAnsi="Times New Roman" w:cs="Times New Roman"/>
          <w:b/>
          <w:bCs/>
          <w:sz w:val="24"/>
          <w:szCs w:val="24"/>
        </w:rPr>
        <w:t xml:space="preserve">Date:  </w:t>
      </w:r>
      <w:r w:rsidR="00F54FC7">
        <w:rPr>
          <w:rFonts w:ascii="Times New Roman" w:hAnsi="Times New Roman" w:cs="Times New Roman"/>
          <w:sz w:val="24"/>
          <w:szCs w:val="24"/>
        </w:rPr>
        <w:t>February 2</w:t>
      </w:r>
      <w:r w:rsidR="007616C4">
        <w:rPr>
          <w:rFonts w:ascii="Times New Roman" w:hAnsi="Times New Roman" w:cs="Times New Roman"/>
          <w:sz w:val="24"/>
          <w:szCs w:val="24"/>
        </w:rPr>
        <w:t>8</w:t>
      </w:r>
      <w:r w:rsidR="00F54FC7">
        <w:rPr>
          <w:rFonts w:ascii="Times New Roman" w:hAnsi="Times New Roman" w:cs="Times New Roman"/>
          <w:sz w:val="24"/>
          <w:szCs w:val="24"/>
        </w:rPr>
        <w:t>, 2020</w:t>
      </w:r>
    </w:p>
    <w:p w14:paraId="27A362F1" w14:textId="77777777" w:rsidR="00E91612" w:rsidRDefault="00E91612" w:rsidP="00C32F94">
      <w:pPr>
        <w:rPr>
          <w:rFonts w:ascii="Times New Roman" w:hAnsi="Times New Roman" w:cs="Times New Roman"/>
          <w:sz w:val="24"/>
          <w:szCs w:val="24"/>
        </w:rPr>
      </w:pPr>
    </w:p>
    <w:p w14:paraId="7C47B311" w14:textId="2582D7F4" w:rsidR="00773D98" w:rsidRDefault="00192EE8" w:rsidP="00C32F94">
      <w:pPr>
        <w:rPr>
          <w:rFonts w:ascii="Times New Roman" w:hAnsi="Times New Roman" w:cs="Times New Roman"/>
          <w:sz w:val="24"/>
          <w:szCs w:val="24"/>
        </w:rPr>
      </w:pPr>
      <w:r>
        <w:rPr>
          <w:rFonts w:ascii="Times New Roman" w:hAnsi="Times New Roman" w:cs="Times New Roman"/>
          <w:sz w:val="24"/>
          <w:szCs w:val="24"/>
        </w:rPr>
        <w:t>The primary objective that the Transportation Climate Initiative (TCI)</w:t>
      </w:r>
      <w:r w:rsidR="00C43580">
        <w:rPr>
          <w:rFonts w:ascii="Times New Roman" w:hAnsi="Times New Roman" w:cs="Times New Roman"/>
          <w:sz w:val="24"/>
          <w:szCs w:val="24"/>
        </w:rPr>
        <w:t xml:space="preserve"> should strive to achieve</w:t>
      </w:r>
      <w:r>
        <w:rPr>
          <w:rFonts w:ascii="Times New Roman" w:hAnsi="Times New Roman" w:cs="Times New Roman"/>
          <w:sz w:val="24"/>
          <w:szCs w:val="24"/>
        </w:rPr>
        <w:t xml:space="preserve"> </w:t>
      </w:r>
      <w:r w:rsidR="00FD3A25">
        <w:rPr>
          <w:rFonts w:ascii="Times New Roman" w:hAnsi="Times New Roman" w:cs="Times New Roman"/>
          <w:sz w:val="24"/>
          <w:szCs w:val="24"/>
        </w:rPr>
        <w:t>is to reduce transportation emissions as much as possible (meaning a 2</w:t>
      </w:r>
      <w:r w:rsidR="000B3248">
        <w:rPr>
          <w:rFonts w:ascii="Times New Roman" w:hAnsi="Times New Roman" w:cs="Times New Roman"/>
          <w:sz w:val="24"/>
          <w:szCs w:val="24"/>
        </w:rPr>
        <w:t>5</w:t>
      </w:r>
      <w:r w:rsidR="00FD3A25">
        <w:rPr>
          <w:rFonts w:ascii="Times New Roman" w:hAnsi="Times New Roman" w:cs="Times New Roman"/>
          <w:sz w:val="24"/>
          <w:szCs w:val="24"/>
        </w:rPr>
        <w:t>% reduction from the Reference Case, instead of a 20 or 22% reduction</w:t>
      </w:r>
      <w:r w:rsidR="000B3248">
        <w:rPr>
          <w:rFonts w:ascii="Times New Roman" w:hAnsi="Times New Roman" w:cs="Times New Roman"/>
          <w:sz w:val="24"/>
          <w:szCs w:val="24"/>
        </w:rPr>
        <w:t xml:space="preserve"> which are also under consideration</w:t>
      </w:r>
      <w:r w:rsidR="00C43580">
        <w:rPr>
          <w:rFonts w:ascii="Times New Roman" w:hAnsi="Times New Roman" w:cs="Times New Roman"/>
          <w:sz w:val="24"/>
          <w:szCs w:val="24"/>
        </w:rPr>
        <w:t>)</w:t>
      </w:r>
      <w:r w:rsidR="00FD3A25">
        <w:rPr>
          <w:rFonts w:ascii="Times New Roman" w:hAnsi="Times New Roman" w:cs="Times New Roman"/>
          <w:sz w:val="24"/>
          <w:szCs w:val="24"/>
        </w:rPr>
        <w:t xml:space="preserve">.  To accomplish this, TCI </w:t>
      </w:r>
      <w:r>
        <w:rPr>
          <w:rFonts w:ascii="Times New Roman" w:hAnsi="Times New Roman" w:cs="Times New Roman"/>
          <w:sz w:val="24"/>
          <w:szCs w:val="24"/>
        </w:rPr>
        <w:t xml:space="preserve">should aim </w:t>
      </w:r>
      <w:r w:rsidR="00C43580">
        <w:rPr>
          <w:rFonts w:ascii="Times New Roman" w:hAnsi="Times New Roman" w:cs="Times New Roman"/>
          <w:sz w:val="24"/>
          <w:szCs w:val="24"/>
        </w:rPr>
        <w:t>for</w:t>
      </w:r>
      <w:r>
        <w:rPr>
          <w:rFonts w:ascii="Times New Roman" w:hAnsi="Times New Roman" w:cs="Times New Roman"/>
          <w:sz w:val="24"/>
          <w:szCs w:val="24"/>
        </w:rPr>
        <w:t xml:space="preserve"> the adoption of as high a variable cost to driving and parking as feasible, enabled </w:t>
      </w:r>
      <w:r w:rsidR="00E91612">
        <w:rPr>
          <w:rFonts w:ascii="Times New Roman" w:hAnsi="Times New Roman" w:cs="Times New Roman"/>
          <w:sz w:val="24"/>
          <w:szCs w:val="24"/>
        </w:rPr>
        <w:t>politically</w:t>
      </w:r>
      <w:r>
        <w:rPr>
          <w:rFonts w:ascii="Times New Roman" w:hAnsi="Times New Roman" w:cs="Times New Roman"/>
          <w:sz w:val="24"/>
          <w:szCs w:val="24"/>
        </w:rPr>
        <w:t xml:space="preserve"> by converting fixed and hidden driving and parking costs to usage pricing, where total costs to most drivers will actually go down.  </w:t>
      </w:r>
      <w:r w:rsidR="00C43580">
        <w:rPr>
          <w:rFonts w:ascii="Times New Roman" w:hAnsi="Times New Roman" w:cs="Times New Roman"/>
          <w:sz w:val="24"/>
          <w:szCs w:val="24"/>
        </w:rPr>
        <w:t>Incentives applied at the level of the individual driver are</w:t>
      </w:r>
      <w:r w:rsidR="00C97D14">
        <w:rPr>
          <w:rFonts w:ascii="Times New Roman" w:hAnsi="Times New Roman" w:cs="Times New Roman"/>
          <w:sz w:val="24"/>
          <w:szCs w:val="24"/>
        </w:rPr>
        <w:t xml:space="preserve"> critical to </w:t>
      </w:r>
      <w:r w:rsidR="00C43580">
        <w:rPr>
          <w:rFonts w:ascii="Times New Roman" w:hAnsi="Times New Roman" w:cs="Times New Roman"/>
          <w:sz w:val="24"/>
          <w:szCs w:val="24"/>
        </w:rPr>
        <w:t>meeting TCI’s carbon reduction goal</w:t>
      </w:r>
      <w:r w:rsidR="00C97D14">
        <w:rPr>
          <w:rFonts w:ascii="Times New Roman" w:hAnsi="Times New Roman" w:cs="Times New Roman"/>
          <w:sz w:val="24"/>
          <w:szCs w:val="24"/>
        </w:rPr>
        <w:t xml:space="preserve">.  </w:t>
      </w:r>
      <w:r>
        <w:rPr>
          <w:rFonts w:ascii="Times New Roman" w:hAnsi="Times New Roman" w:cs="Times New Roman"/>
          <w:sz w:val="24"/>
          <w:szCs w:val="24"/>
        </w:rPr>
        <w:t>TCI’s other stated objective, raising revenues to support new clean transportation investments, should be less of a priority since cap-and-trade revenues are, by nature, variable and uncertain, and thus bonding such revenues (which is essential to raising reliable infrastructure investment capital) would be challenging.  Only by establishing a robust permit price floor could bonding easily occur, but that comes with political challenges</w:t>
      </w:r>
      <w:r w:rsidR="00773D98">
        <w:rPr>
          <w:rFonts w:ascii="Times New Roman" w:hAnsi="Times New Roman" w:cs="Times New Roman"/>
          <w:sz w:val="24"/>
          <w:szCs w:val="24"/>
        </w:rPr>
        <w:t>, as raising gas taxes tends not to be popular, and it</w:t>
      </w:r>
      <w:r w:rsidR="00EC7930">
        <w:rPr>
          <w:rFonts w:ascii="Times New Roman" w:hAnsi="Times New Roman" w:cs="Times New Roman"/>
          <w:sz w:val="24"/>
          <w:szCs w:val="24"/>
        </w:rPr>
        <w:t xml:space="preserve"> i</w:t>
      </w:r>
      <w:r w:rsidR="00773D98">
        <w:rPr>
          <w:rFonts w:ascii="Times New Roman" w:hAnsi="Times New Roman" w:cs="Times New Roman"/>
          <w:sz w:val="24"/>
          <w:szCs w:val="24"/>
        </w:rPr>
        <w:t xml:space="preserve">s likely that such a floor would need to be accompanied by a price ceiling for state legislative passage, and that presents a serious risk to meeting TCI’s emission goals (as discussed further below).  States also have other options to raise revenues for bonding that may or may not be more </w:t>
      </w:r>
      <w:r w:rsidR="00E91612">
        <w:rPr>
          <w:rFonts w:ascii="Times New Roman" w:hAnsi="Times New Roman" w:cs="Times New Roman"/>
          <w:sz w:val="24"/>
          <w:szCs w:val="24"/>
        </w:rPr>
        <w:t>politically</w:t>
      </w:r>
      <w:r w:rsidR="00773D98">
        <w:rPr>
          <w:rFonts w:ascii="Times New Roman" w:hAnsi="Times New Roman" w:cs="Times New Roman"/>
          <w:sz w:val="24"/>
          <w:szCs w:val="24"/>
        </w:rPr>
        <w:t xml:space="preserve"> feasible than a permit price floor (e.g., the State of Oregon is moving toward a mileage fee structure and plans to bond that revenue).</w:t>
      </w:r>
    </w:p>
    <w:p w14:paraId="2C84A6ED" w14:textId="3AABDB62" w:rsidR="00822394" w:rsidRPr="00C32F94" w:rsidRDefault="004A0EBF" w:rsidP="00C32F94">
      <w:pPr>
        <w:rPr>
          <w:rFonts w:ascii="Times New Roman" w:hAnsi="Times New Roman" w:cs="Times New Roman"/>
          <w:sz w:val="24"/>
          <w:szCs w:val="24"/>
        </w:rPr>
      </w:pPr>
      <w:r w:rsidRPr="00C32F94">
        <w:rPr>
          <w:rFonts w:ascii="Times New Roman" w:hAnsi="Times New Roman" w:cs="Times New Roman"/>
          <w:sz w:val="24"/>
          <w:szCs w:val="24"/>
        </w:rPr>
        <w:t>Previous research</w:t>
      </w:r>
      <w:r w:rsidR="0049767A" w:rsidRPr="00C32F94">
        <w:rPr>
          <w:rFonts w:ascii="Times New Roman" w:hAnsi="Times New Roman" w:cs="Times New Roman"/>
          <w:sz w:val="24"/>
          <w:szCs w:val="24"/>
        </w:rPr>
        <w:t>, published originally by the National Academy of Sciences, Transportation Research Board</w:t>
      </w:r>
      <w:r w:rsidR="00AF57FD" w:rsidRPr="00C32F94">
        <w:rPr>
          <w:rFonts w:ascii="Times New Roman" w:hAnsi="Times New Roman" w:cs="Times New Roman"/>
          <w:sz w:val="24"/>
          <w:szCs w:val="24"/>
        </w:rPr>
        <w:t xml:space="preserve"> (see:  </w:t>
      </w:r>
      <w:hyperlink r:id="rId9" w:history="1">
        <w:r w:rsidR="00AF57FD" w:rsidRPr="00C32F94">
          <w:rPr>
            <w:rStyle w:val="Hyperlink"/>
            <w:rFonts w:ascii="Times New Roman" w:hAnsi="Times New Roman" w:cs="Times New Roman"/>
            <w:sz w:val="24"/>
            <w:szCs w:val="24"/>
          </w:rPr>
          <w:t>https://journals.sagepub.com/doi/abs/10.3141/2530-14</w:t>
        </w:r>
      </w:hyperlink>
      <w:r w:rsidR="00AF57FD" w:rsidRPr="00C32F94">
        <w:rPr>
          <w:rFonts w:ascii="Times New Roman" w:hAnsi="Times New Roman" w:cs="Times New Roman"/>
          <w:sz w:val="24"/>
          <w:szCs w:val="24"/>
        </w:rPr>
        <w:t>)</w:t>
      </w:r>
      <w:r w:rsidR="0049767A" w:rsidRPr="00C32F94">
        <w:rPr>
          <w:rFonts w:ascii="Times New Roman" w:hAnsi="Times New Roman" w:cs="Times New Roman"/>
          <w:sz w:val="24"/>
          <w:szCs w:val="24"/>
        </w:rPr>
        <w:t>,</w:t>
      </w:r>
      <w:r w:rsidR="00AF57FD" w:rsidRPr="00C32F94">
        <w:rPr>
          <w:rFonts w:ascii="Times New Roman" w:hAnsi="Times New Roman" w:cs="Times New Roman"/>
          <w:sz w:val="24"/>
          <w:szCs w:val="24"/>
        </w:rPr>
        <w:t xml:space="preserve"> </w:t>
      </w:r>
      <w:r w:rsidR="00FC313F">
        <w:rPr>
          <w:rFonts w:ascii="Times New Roman" w:hAnsi="Times New Roman" w:cs="Times New Roman"/>
          <w:sz w:val="24"/>
          <w:szCs w:val="24"/>
        </w:rPr>
        <w:t xml:space="preserve">and subsequently expounded </w:t>
      </w:r>
      <w:r w:rsidR="00FC313F" w:rsidRPr="00FC313F">
        <w:rPr>
          <w:rFonts w:ascii="Times New Roman" w:hAnsi="Times New Roman" w:cs="Times New Roman"/>
          <w:sz w:val="24"/>
          <w:szCs w:val="24"/>
        </w:rPr>
        <w:t xml:space="preserve">upon (see:  </w:t>
      </w:r>
      <w:hyperlink r:id="rId10" w:history="1">
        <w:r w:rsidR="00FC313F" w:rsidRPr="00FC313F">
          <w:rPr>
            <w:rStyle w:val="Hyperlink"/>
            <w:rFonts w:ascii="Times New Roman" w:hAnsi="Times New Roman" w:cs="Times New Roman"/>
            <w:sz w:val="24"/>
            <w:szCs w:val="24"/>
          </w:rPr>
          <w:t>www.vtpi.org/G&amp;E_GHG.pdf</w:t>
        </w:r>
      </w:hyperlink>
      <w:r w:rsidR="00FC313F" w:rsidRPr="00FC313F">
        <w:rPr>
          <w:rFonts w:ascii="Times New Roman" w:hAnsi="Times New Roman" w:cs="Times New Roman"/>
          <w:sz w:val="24"/>
          <w:szCs w:val="24"/>
        </w:rPr>
        <w:t>)</w:t>
      </w:r>
      <w:r w:rsidR="00FC313F">
        <w:rPr>
          <w:rFonts w:ascii="Times New Roman" w:hAnsi="Times New Roman" w:cs="Times New Roman"/>
          <w:sz w:val="24"/>
          <w:szCs w:val="24"/>
        </w:rPr>
        <w:t>,</w:t>
      </w:r>
      <w:r w:rsidR="00FC313F" w:rsidRPr="00FC313F">
        <w:rPr>
          <w:rFonts w:ascii="Times New Roman" w:hAnsi="Times New Roman" w:cs="Times New Roman"/>
          <w:sz w:val="24"/>
          <w:szCs w:val="24"/>
        </w:rPr>
        <w:t xml:space="preserve"> </w:t>
      </w:r>
      <w:r w:rsidRPr="00FC313F">
        <w:rPr>
          <w:rFonts w:ascii="Times New Roman" w:hAnsi="Times New Roman" w:cs="Times New Roman"/>
          <w:sz w:val="24"/>
          <w:szCs w:val="24"/>
        </w:rPr>
        <w:t>demonstrated that re</w:t>
      </w:r>
      <w:r w:rsidR="00876FF0" w:rsidRPr="00FC313F">
        <w:rPr>
          <w:rFonts w:ascii="Times New Roman" w:hAnsi="Times New Roman" w:cs="Times New Roman"/>
          <w:sz w:val="24"/>
          <w:szCs w:val="24"/>
        </w:rPr>
        <w:t>-</w:t>
      </w:r>
      <w:r w:rsidRPr="00FC313F">
        <w:rPr>
          <w:rFonts w:ascii="Times New Roman" w:hAnsi="Times New Roman" w:cs="Times New Roman"/>
          <w:sz w:val="24"/>
          <w:szCs w:val="24"/>
        </w:rPr>
        <w:t>pricing transportation by converting fixed and hidden transport</w:t>
      </w:r>
      <w:r w:rsidRPr="00C32F94">
        <w:rPr>
          <w:rFonts w:ascii="Times New Roman" w:hAnsi="Times New Roman" w:cs="Times New Roman"/>
          <w:sz w:val="24"/>
          <w:szCs w:val="24"/>
        </w:rPr>
        <w:t xml:space="preserve"> costs to variable charges </w:t>
      </w:r>
      <w:r w:rsidR="00183DC5" w:rsidRPr="00C32F94">
        <w:rPr>
          <w:rFonts w:ascii="Times New Roman" w:hAnsi="Times New Roman" w:cs="Times New Roman"/>
          <w:sz w:val="24"/>
          <w:szCs w:val="24"/>
        </w:rPr>
        <w:t xml:space="preserve">and </w:t>
      </w:r>
      <w:r w:rsidR="00B825F2">
        <w:rPr>
          <w:rFonts w:ascii="Times New Roman" w:hAnsi="Times New Roman" w:cs="Times New Roman"/>
          <w:sz w:val="24"/>
          <w:szCs w:val="24"/>
        </w:rPr>
        <w:t xml:space="preserve">rebates </w:t>
      </w:r>
      <w:r w:rsidR="009A0A4D" w:rsidRPr="00C32F94">
        <w:rPr>
          <w:rFonts w:ascii="Times New Roman" w:hAnsi="Times New Roman" w:cs="Times New Roman"/>
          <w:sz w:val="24"/>
          <w:szCs w:val="24"/>
        </w:rPr>
        <w:t xml:space="preserve">would very significantly </w:t>
      </w:r>
      <w:r w:rsidRPr="00C32F94">
        <w:rPr>
          <w:rFonts w:ascii="Times New Roman" w:hAnsi="Times New Roman" w:cs="Times New Roman"/>
          <w:sz w:val="24"/>
          <w:szCs w:val="24"/>
        </w:rPr>
        <w:t xml:space="preserve">curtail </w:t>
      </w:r>
      <w:r w:rsidR="009A0A4D" w:rsidRPr="00C32F94">
        <w:rPr>
          <w:rFonts w:ascii="Times New Roman" w:hAnsi="Times New Roman" w:cs="Times New Roman"/>
          <w:sz w:val="24"/>
          <w:szCs w:val="24"/>
        </w:rPr>
        <w:t xml:space="preserve">transportation-related </w:t>
      </w:r>
      <w:r w:rsidR="00A32BD6" w:rsidRPr="00C32F94">
        <w:rPr>
          <w:rFonts w:ascii="Times New Roman" w:hAnsi="Times New Roman" w:cs="Times New Roman"/>
          <w:sz w:val="24"/>
          <w:szCs w:val="24"/>
        </w:rPr>
        <w:t>Greenhouse Gas (</w:t>
      </w:r>
      <w:r w:rsidRPr="00C32F94">
        <w:rPr>
          <w:rFonts w:ascii="Times New Roman" w:hAnsi="Times New Roman" w:cs="Times New Roman"/>
          <w:sz w:val="24"/>
          <w:szCs w:val="24"/>
        </w:rPr>
        <w:t>GHG</w:t>
      </w:r>
      <w:r w:rsidR="00A32BD6" w:rsidRPr="00C32F94">
        <w:rPr>
          <w:rFonts w:ascii="Times New Roman" w:hAnsi="Times New Roman" w:cs="Times New Roman"/>
          <w:sz w:val="24"/>
          <w:szCs w:val="24"/>
        </w:rPr>
        <w:t>)</w:t>
      </w:r>
      <w:r w:rsidRPr="00C32F94">
        <w:rPr>
          <w:rFonts w:ascii="Times New Roman" w:hAnsi="Times New Roman" w:cs="Times New Roman"/>
          <w:sz w:val="24"/>
          <w:szCs w:val="24"/>
        </w:rPr>
        <w:t xml:space="preserve"> emissions</w:t>
      </w:r>
      <w:r w:rsidR="009A0A4D" w:rsidRPr="00C32F94">
        <w:rPr>
          <w:rFonts w:ascii="Times New Roman" w:hAnsi="Times New Roman" w:cs="Times New Roman"/>
          <w:sz w:val="24"/>
          <w:szCs w:val="24"/>
        </w:rPr>
        <w:t>, substantially more than</w:t>
      </w:r>
      <w:r w:rsidRPr="00C32F94">
        <w:rPr>
          <w:rFonts w:ascii="Times New Roman" w:hAnsi="Times New Roman" w:cs="Times New Roman"/>
          <w:sz w:val="24"/>
          <w:szCs w:val="24"/>
        </w:rPr>
        <w:t xml:space="preserve"> imposing carbon pricing</w:t>
      </w:r>
      <w:r w:rsidR="00822394" w:rsidRPr="00C32F94">
        <w:rPr>
          <w:rFonts w:ascii="Times New Roman" w:hAnsi="Times New Roman" w:cs="Times New Roman"/>
          <w:sz w:val="24"/>
          <w:szCs w:val="24"/>
        </w:rPr>
        <w:t xml:space="preserve"> </w:t>
      </w:r>
      <w:r w:rsidR="00A139F7">
        <w:rPr>
          <w:rFonts w:ascii="Times New Roman" w:hAnsi="Times New Roman" w:cs="Times New Roman"/>
          <w:sz w:val="24"/>
          <w:szCs w:val="24"/>
        </w:rPr>
        <w:t xml:space="preserve">on transportation fuels </w:t>
      </w:r>
      <w:r w:rsidR="00822394" w:rsidRPr="00C32F94">
        <w:rPr>
          <w:rFonts w:ascii="Times New Roman" w:hAnsi="Times New Roman" w:cs="Times New Roman"/>
          <w:sz w:val="24"/>
          <w:szCs w:val="24"/>
        </w:rPr>
        <w:t xml:space="preserve">at the highest levels that may be </w:t>
      </w:r>
      <w:r w:rsidR="00E91612">
        <w:rPr>
          <w:rFonts w:ascii="Times New Roman" w:hAnsi="Times New Roman" w:cs="Times New Roman"/>
          <w:sz w:val="24"/>
          <w:szCs w:val="24"/>
        </w:rPr>
        <w:t>politically</w:t>
      </w:r>
      <w:r w:rsidR="00822394" w:rsidRPr="00C32F94">
        <w:rPr>
          <w:rFonts w:ascii="Times New Roman" w:hAnsi="Times New Roman" w:cs="Times New Roman"/>
          <w:sz w:val="24"/>
          <w:szCs w:val="24"/>
        </w:rPr>
        <w:t xml:space="preserve"> plausible</w:t>
      </w:r>
      <w:r w:rsidRPr="00C32F94">
        <w:rPr>
          <w:rFonts w:ascii="Times New Roman" w:hAnsi="Times New Roman" w:cs="Times New Roman"/>
          <w:sz w:val="24"/>
          <w:szCs w:val="24"/>
        </w:rPr>
        <w:t xml:space="preserve">.  </w:t>
      </w:r>
      <w:r w:rsidR="00011582" w:rsidRPr="00C32F94">
        <w:rPr>
          <w:rFonts w:ascii="Times New Roman" w:hAnsi="Times New Roman" w:cs="Times New Roman"/>
          <w:sz w:val="24"/>
          <w:szCs w:val="24"/>
        </w:rPr>
        <w:t>The policy could be enacted either in lieu of or as a complement to a carbon price applied to transportation fuels.</w:t>
      </w:r>
      <w:r w:rsidR="00B825F2">
        <w:rPr>
          <w:rFonts w:ascii="Times New Roman" w:hAnsi="Times New Roman" w:cs="Times New Roman"/>
          <w:sz w:val="24"/>
          <w:szCs w:val="24"/>
        </w:rPr>
        <w:t xml:space="preserve">  It</w:t>
      </w:r>
      <w:r w:rsidR="00B825F2" w:rsidRPr="00C32F94">
        <w:rPr>
          <w:rFonts w:ascii="Times New Roman" w:hAnsi="Times New Roman" w:cs="Times New Roman"/>
          <w:sz w:val="24"/>
          <w:szCs w:val="24"/>
        </w:rPr>
        <w:t xml:space="preserve"> </w:t>
      </w:r>
      <w:r w:rsidR="00B825F2">
        <w:rPr>
          <w:rFonts w:ascii="Times New Roman" w:hAnsi="Times New Roman" w:cs="Times New Roman"/>
          <w:sz w:val="24"/>
          <w:szCs w:val="24"/>
        </w:rPr>
        <w:t>is the rare pricing policy that offers</w:t>
      </w:r>
      <w:r w:rsidR="00B825F2" w:rsidRPr="00C32F94">
        <w:rPr>
          <w:rFonts w:ascii="Times New Roman" w:hAnsi="Times New Roman" w:cs="Times New Roman"/>
          <w:sz w:val="24"/>
          <w:szCs w:val="24"/>
        </w:rPr>
        <w:t xml:space="preserve"> </w:t>
      </w:r>
      <w:r w:rsidR="00B825F2">
        <w:rPr>
          <w:rFonts w:ascii="Times New Roman" w:hAnsi="Times New Roman" w:cs="Times New Roman"/>
          <w:sz w:val="24"/>
          <w:szCs w:val="24"/>
        </w:rPr>
        <w:t xml:space="preserve">people the </w:t>
      </w:r>
      <w:r w:rsidR="00B825F2" w:rsidRPr="00C32F94">
        <w:rPr>
          <w:rFonts w:ascii="Times New Roman" w:hAnsi="Times New Roman" w:cs="Times New Roman"/>
          <w:sz w:val="24"/>
          <w:szCs w:val="24"/>
        </w:rPr>
        <w:t>opportunit</w:t>
      </w:r>
      <w:r w:rsidR="00B825F2">
        <w:rPr>
          <w:rFonts w:ascii="Times New Roman" w:hAnsi="Times New Roman" w:cs="Times New Roman"/>
          <w:sz w:val="24"/>
          <w:szCs w:val="24"/>
        </w:rPr>
        <w:t>y</w:t>
      </w:r>
      <w:r w:rsidR="00B825F2" w:rsidRPr="00C32F94">
        <w:rPr>
          <w:rFonts w:ascii="Times New Roman" w:hAnsi="Times New Roman" w:cs="Times New Roman"/>
          <w:sz w:val="24"/>
          <w:szCs w:val="24"/>
        </w:rPr>
        <w:t xml:space="preserve"> to save money by driving less and forgoing a workplace parking benefit, </w:t>
      </w:r>
      <w:r w:rsidR="00B825F2" w:rsidRPr="00C32F94">
        <w:rPr>
          <w:rStyle w:val="Hyperlink"/>
          <w:rFonts w:ascii="Times New Roman" w:hAnsi="Times New Roman" w:cs="Times New Roman"/>
          <w:color w:val="000000"/>
          <w:sz w:val="24"/>
          <w:szCs w:val="24"/>
          <w:u w:val="none"/>
        </w:rPr>
        <w:t xml:space="preserve">and typically not costing </w:t>
      </w:r>
      <w:r w:rsidR="00B825F2">
        <w:rPr>
          <w:rStyle w:val="Hyperlink"/>
          <w:rFonts w:ascii="Times New Roman" w:hAnsi="Times New Roman" w:cs="Times New Roman"/>
          <w:color w:val="000000"/>
          <w:sz w:val="24"/>
          <w:szCs w:val="24"/>
          <w:u w:val="none"/>
        </w:rPr>
        <w:t>them</w:t>
      </w:r>
      <w:r w:rsidR="00B825F2" w:rsidRPr="00C32F94">
        <w:rPr>
          <w:rStyle w:val="Hyperlink"/>
          <w:rFonts w:ascii="Times New Roman" w:hAnsi="Times New Roman" w:cs="Times New Roman"/>
          <w:color w:val="000000"/>
          <w:sz w:val="24"/>
          <w:szCs w:val="24"/>
          <w:u w:val="none"/>
        </w:rPr>
        <w:t xml:space="preserve"> more money if they choose to continue their current levels of driving</w:t>
      </w:r>
      <w:r w:rsidR="00C35F62">
        <w:rPr>
          <w:rFonts w:ascii="Times New Roman" w:hAnsi="Times New Roman" w:cs="Times New Roman"/>
          <w:sz w:val="24"/>
          <w:szCs w:val="24"/>
        </w:rPr>
        <w:t>.</w:t>
      </w:r>
    </w:p>
    <w:p w14:paraId="4EB08678" w14:textId="0666CF36" w:rsidR="005E5A7D" w:rsidRPr="00C32F94" w:rsidRDefault="007675C7" w:rsidP="00C32F94">
      <w:pPr>
        <w:rPr>
          <w:rFonts w:ascii="Times New Roman" w:hAnsi="Times New Roman" w:cs="Times New Roman"/>
          <w:sz w:val="24"/>
          <w:szCs w:val="24"/>
        </w:rPr>
      </w:pPr>
      <w:r>
        <w:rPr>
          <w:rFonts w:ascii="Times New Roman" w:hAnsi="Times New Roman" w:cs="Times New Roman"/>
          <w:sz w:val="24"/>
          <w:szCs w:val="24"/>
        </w:rPr>
        <w:t>In research supporting this approach (</w:t>
      </w:r>
      <w:r w:rsidR="004B17CF">
        <w:rPr>
          <w:rFonts w:ascii="Times New Roman" w:hAnsi="Times New Roman" w:cs="Times New Roman"/>
          <w:sz w:val="24"/>
          <w:szCs w:val="24"/>
        </w:rPr>
        <w:t xml:space="preserve">conducted nationally, </w:t>
      </w:r>
      <w:r w:rsidR="006354B7">
        <w:rPr>
          <w:rFonts w:ascii="Times New Roman" w:hAnsi="Times New Roman" w:cs="Times New Roman"/>
          <w:sz w:val="24"/>
          <w:szCs w:val="24"/>
        </w:rPr>
        <w:t>with</w:t>
      </w:r>
      <w:r w:rsidR="004B17CF">
        <w:rPr>
          <w:rFonts w:ascii="Times New Roman" w:hAnsi="Times New Roman" w:cs="Times New Roman"/>
          <w:sz w:val="24"/>
          <w:szCs w:val="24"/>
        </w:rPr>
        <w:t xml:space="preserve"> state-by-state results</w:t>
      </w:r>
      <w:r w:rsidR="006354B7">
        <w:rPr>
          <w:rFonts w:ascii="Times New Roman" w:hAnsi="Times New Roman" w:cs="Times New Roman"/>
          <w:sz w:val="24"/>
          <w:szCs w:val="24"/>
        </w:rPr>
        <w:t xml:space="preserve"> reported</w:t>
      </w:r>
      <w:r>
        <w:rPr>
          <w:rFonts w:ascii="Times New Roman" w:hAnsi="Times New Roman" w:cs="Times New Roman"/>
          <w:sz w:val="24"/>
          <w:szCs w:val="24"/>
        </w:rPr>
        <w:t>), t</w:t>
      </w:r>
      <w:r w:rsidR="00822394" w:rsidRPr="00C32F94">
        <w:rPr>
          <w:rFonts w:ascii="Times New Roman" w:hAnsi="Times New Roman" w:cs="Times New Roman"/>
          <w:sz w:val="24"/>
          <w:szCs w:val="24"/>
        </w:rPr>
        <w:t xml:space="preserve">he primary policy </w:t>
      </w:r>
      <w:r w:rsidR="007F3C91">
        <w:rPr>
          <w:rFonts w:ascii="Times New Roman" w:hAnsi="Times New Roman" w:cs="Times New Roman"/>
          <w:sz w:val="24"/>
          <w:szCs w:val="24"/>
        </w:rPr>
        <w:t xml:space="preserve">that was initially </w:t>
      </w:r>
      <w:r w:rsidR="00822394" w:rsidRPr="00C32F94">
        <w:rPr>
          <w:rFonts w:ascii="Times New Roman" w:hAnsi="Times New Roman" w:cs="Times New Roman"/>
          <w:sz w:val="24"/>
          <w:szCs w:val="24"/>
        </w:rPr>
        <w:t>explored was a regulatory approach, using the U.S. Environmental Protection Agency</w:t>
      </w:r>
      <w:r w:rsidR="00B81E8C">
        <w:rPr>
          <w:rFonts w:ascii="Times New Roman" w:hAnsi="Times New Roman" w:cs="Times New Roman"/>
          <w:sz w:val="24"/>
          <w:szCs w:val="24"/>
        </w:rPr>
        <w:t xml:space="preserve"> (EPA)</w:t>
      </w:r>
      <w:r w:rsidR="00822394" w:rsidRPr="00C32F94">
        <w:rPr>
          <w:rFonts w:ascii="Times New Roman" w:hAnsi="Times New Roman" w:cs="Times New Roman"/>
          <w:sz w:val="24"/>
          <w:szCs w:val="24"/>
        </w:rPr>
        <w:t xml:space="preserve"> Clean Power Plan under the Obama Administration as a framework, to set </w:t>
      </w:r>
      <w:r>
        <w:rPr>
          <w:rFonts w:ascii="Times New Roman" w:hAnsi="Times New Roman" w:cs="Times New Roman"/>
          <w:sz w:val="24"/>
          <w:szCs w:val="24"/>
        </w:rPr>
        <w:t xml:space="preserve">state-level </w:t>
      </w:r>
      <w:r w:rsidR="00822394" w:rsidRPr="00C32F94">
        <w:rPr>
          <w:rFonts w:ascii="Times New Roman" w:hAnsi="Times New Roman" w:cs="Times New Roman"/>
          <w:sz w:val="24"/>
          <w:szCs w:val="24"/>
        </w:rPr>
        <w:t xml:space="preserve">transportation GHG reduction targets that are based on simultaneously deploying “no new taxes” (a) pay-as-you-drive-and-you-save (PAYDAYS) car insurance, (b) parking cash out, and (c) the conversion of fixed state and local vehicle </w:t>
      </w:r>
      <w:r w:rsidR="00C97D14">
        <w:rPr>
          <w:rFonts w:ascii="Times New Roman" w:hAnsi="Times New Roman" w:cs="Times New Roman"/>
          <w:sz w:val="24"/>
          <w:szCs w:val="24"/>
        </w:rPr>
        <w:t xml:space="preserve">purchase </w:t>
      </w:r>
      <w:r w:rsidR="00822394" w:rsidRPr="00C32F94">
        <w:rPr>
          <w:rFonts w:ascii="Times New Roman" w:hAnsi="Times New Roman" w:cs="Times New Roman"/>
          <w:sz w:val="24"/>
          <w:szCs w:val="24"/>
        </w:rPr>
        <w:lastRenderedPageBreak/>
        <w:t xml:space="preserve">sales taxes into mileage-based </w:t>
      </w:r>
      <w:r w:rsidR="00B825F2">
        <w:rPr>
          <w:rFonts w:ascii="Times New Roman" w:hAnsi="Times New Roman" w:cs="Times New Roman"/>
          <w:sz w:val="24"/>
          <w:szCs w:val="24"/>
        </w:rPr>
        <w:t>fees</w:t>
      </w:r>
      <w:r w:rsidR="00822394" w:rsidRPr="00C32F94">
        <w:rPr>
          <w:rFonts w:ascii="Times New Roman" w:hAnsi="Times New Roman" w:cs="Times New Roman"/>
          <w:sz w:val="24"/>
          <w:szCs w:val="24"/>
        </w:rPr>
        <w:t xml:space="preserve"> designed to raise equivalent revenue.</w:t>
      </w:r>
      <w:r w:rsidR="00D648B2" w:rsidRPr="00C32F94">
        <w:rPr>
          <w:rFonts w:ascii="Times New Roman" w:hAnsi="Times New Roman" w:cs="Times New Roman"/>
          <w:sz w:val="24"/>
          <w:szCs w:val="24"/>
        </w:rPr>
        <w:t xml:space="preserve">  These strategies convert fixed costs into variable per-mile charges, or automobile </w:t>
      </w:r>
      <w:r w:rsidR="00CE6ABB">
        <w:rPr>
          <w:rFonts w:ascii="Times New Roman" w:hAnsi="Times New Roman" w:cs="Times New Roman"/>
          <w:sz w:val="24"/>
          <w:szCs w:val="24"/>
        </w:rPr>
        <w:t xml:space="preserve">commute </w:t>
      </w:r>
      <w:r w:rsidR="00183DC5" w:rsidRPr="00C32F94">
        <w:rPr>
          <w:rFonts w:ascii="Times New Roman" w:hAnsi="Times New Roman" w:cs="Times New Roman"/>
          <w:sz w:val="24"/>
          <w:szCs w:val="24"/>
        </w:rPr>
        <w:t xml:space="preserve">parking </w:t>
      </w:r>
      <w:r w:rsidR="00D648B2" w:rsidRPr="00C32F94">
        <w:rPr>
          <w:rFonts w:ascii="Times New Roman" w:hAnsi="Times New Roman" w:cs="Times New Roman"/>
          <w:sz w:val="24"/>
          <w:szCs w:val="24"/>
        </w:rPr>
        <w:t>subsidies into modal-neutral subsidies</w:t>
      </w:r>
      <w:r w:rsidR="00183DC5" w:rsidRPr="00C32F94">
        <w:rPr>
          <w:rFonts w:ascii="Times New Roman" w:hAnsi="Times New Roman" w:cs="Times New Roman"/>
          <w:sz w:val="24"/>
          <w:szCs w:val="24"/>
        </w:rPr>
        <w:t xml:space="preserve"> and rebates</w:t>
      </w:r>
      <w:r w:rsidR="00D648B2" w:rsidRPr="00C32F94">
        <w:rPr>
          <w:rFonts w:ascii="Times New Roman" w:hAnsi="Times New Roman" w:cs="Times New Roman"/>
          <w:sz w:val="24"/>
          <w:szCs w:val="24"/>
        </w:rPr>
        <w:t xml:space="preserve"> (pedestrians, cyclists, and carpool and public transit passengers receive the equivalent of automobile parking subsidies), giving travelers significant financial incentives to reduce their annual mileage and providing major co-benefits, including reduced traffic and parking congestion, automobile crashes, and local pollution.  </w:t>
      </w:r>
      <w:r w:rsidR="005E5A7D" w:rsidRPr="00C32F94">
        <w:rPr>
          <w:rFonts w:ascii="Times New Roman" w:hAnsi="Times New Roman" w:cs="Times New Roman"/>
          <w:sz w:val="24"/>
          <w:szCs w:val="24"/>
        </w:rPr>
        <w:t xml:space="preserve"> </w:t>
      </w:r>
    </w:p>
    <w:p w14:paraId="23E6EF09" w14:textId="77777777" w:rsidR="00D63411" w:rsidRDefault="00F3057B" w:rsidP="00C32F94">
      <w:pPr>
        <w:rPr>
          <w:rFonts w:ascii="Times New Roman" w:hAnsi="Times New Roman" w:cs="Times New Roman"/>
          <w:sz w:val="24"/>
          <w:szCs w:val="24"/>
        </w:rPr>
      </w:pPr>
      <w:r>
        <w:rPr>
          <w:rFonts w:ascii="Times New Roman" w:hAnsi="Times New Roman" w:cs="Times New Roman"/>
          <w:sz w:val="24"/>
          <w:szCs w:val="24"/>
        </w:rPr>
        <w:t>To assess the impacts of the regulatory approach, a</w:t>
      </w:r>
      <w:r w:rsidR="004A0EBF" w:rsidRPr="00C32F94">
        <w:rPr>
          <w:rFonts w:ascii="Times New Roman" w:hAnsi="Times New Roman" w:cs="Times New Roman"/>
          <w:sz w:val="24"/>
          <w:szCs w:val="24"/>
        </w:rPr>
        <w:t xml:space="preserve"> spreadsheet model was developed to provide state and Federal level estimates of year-2030 emission reductions from this transportation re-pricing policy </w:t>
      </w:r>
      <w:r w:rsidR="00876FF0">
        <w:rPr>
          <w:rFonts w:ascii="Times New Roman" w:hAnsi="Times New Roman" w:cs="Times New Roman"/>
          <w:sz w:val="24"/>
          <w:szCs w:val="24"/>
        </w:rPr>
        <w:t xml:space="preserve">bundle </w:t>
      </w:r>
      <w:r w:rsidR="004A0EBF" w:rsidRPr="00C32F94">
        <w:rPr>
          <w:rFonts w:ascii="Times New Roman" w:hAnsi="Times New Roman" w:cs="Times New Roman"/>
          <w:sz w:val="24"/>
          <w:szCs w:val="24"/>
        </w:rPr>
        <w:t xml:space="preserve">and results were compared to </w:t>
      </w:r>
      <w:r w:rsidR="00822394" w:rsidRPr="00C32F94">
        <w:rPr>
          <w:rFonts w:ascii="Times New Roman" w:hAnsi="Times New Roman" w:cs="Times New Roman"/>
          <w:sz w:val="24"/>
          <w:szCs w:val="24"/>
        </w:rPr>
        <w:t>those estimated by EPA for the</w:t>
      </w:r>
      <w:r w:rsidR="004A0EBF" w:rsidRPr="00C32F94">
        <w:rPr>
          <w:rFonts w:ascii="Times New Roman" w:hAnsi="Times New Roman" w:cs="Times New Roman"/>
          <w:sz w:val="24"/>
          <w:szCs w:val="24"/>
        </w:rPr>
        <w:t xml:space="preserve"> Clean Power Plan rule</w:t>
      </w:r>
      <w:r w:rsidR="00822394" w:rsidRPr="00C32F94">
        <w:rPr>
          <w:rFonts w:ascii="Times New Roman" w:hAnsi="Times New Roman" w:cs="Times New Roman"/>
          <w:sz w:val="24"/>
          <w:szCs w:val="24"/>
        </w:rPr>
        <w:t xml:space="preserve"> (</w:t>
      </w:r>
      <w:r w:rsidR="004A0EBF" w:rsidRPr="00C32F94">
        <w:rPr>
          <w:rFonts w:ascii="Times New Roman" w:hAnsi="Times New Roman" w:cs="Times New Roman"/>
          <w:sz w:val="24"/>
          <w:szCs w:val="24"/>
        </w:rPr>
        <w:t>which ha</w:t>
      </w:r>
      <w:r w:rsidR="009A0A4D" w:rsidRPr="00C32F94">
        <w:rPr>
          <w:rFonts w:ascii="Times New Roman" w:hAnsi="Times New Roman" w:cs="Times New Roman"/>
          <w:sz w:val="24"/>
          <w:szCs w:val="24"/>
        </w:rPr>
        <w:t xml:space="preserve">d </w:t>
      </w:r>
      <w:r w:rsidR="004A0EBF" w:rsidRPr="00C32F94">
        <w:rPr>
          <w:rFonts w:ascii="Times New Roman" w:hAnsi="Times New Roman" w:cs="Times New Roman"/>
          <w:sz w:val="24"/>
          <w:szCs w:val="24"/>
        </w:rPr>
        <w:t>been called the most significant U.S. government action ever for reducing GHG emissions</w:t>
      </w:r>
      <w:r w:rsidR="00C97D14">
        <w:rPr>
          <w:rFonts w:ascii="Times New Roman" w:hAnsi="Times New Roman" w:cs="Times New Roman"/>
          <w:sz w:val="24"/>
          <w:szCs w:val="24"/>
        </w:rPr>
        <w:t>, although it was never implemented</w:t>
      </w:r>
      <w:r w:rsidR="00822394" w:rsidRPr="00C32F94">
        <w:rPr>
          <w:rFonts w:ascii="Times New Roman" w:hAnsi="Times New Roman" w:cs="Times New Roman"/>
          <w:sz w:val="24"/>
          <w:szCs w:val="24"/>
        </w:rPr>
        <w:t>)</w:t>
      </w:r>
      <w:r w:rsidR="004A0EBF" w:rsidRPr="00C32F94">
        <w:rPr>
          <w:rFonts w:ascii="Times New Roman" w:hAnsi="Times New Roman" w:cs="Times New Roman"/>
          <w:sz w:val="24"/>
          <w:szCs w:val="24"/>
        </w:rPr>
        <w:t>.</w:t>
      </w:r>
      <w:r w:rsidR="009A0A4D" w:rsidRPr="00C32F94">
        <w:rPr>
          <w:rFonts w:ascii="Times New Roman" w:hAnsi="Times New Roman" w:cs="Times New Roman"/>
          <w:sz w:val="24"/>
          <w:szCs w:val="24"/>
        </w:rPr>
        <w:t xml:space="preserve">  The study concluded that </w:t>
      </w:r>
      <w:r w:rsidR="00D648B2" w:rsidRPr="00C32F94">
        <w:rPr>
          <w:rFonts w:ascii="Times New Roman" w:hAnsi="Times New Roman" w:cs="Times New Roman"/>
          <w:sz w:val="24"/>
          <w:szCs w:val="24"/>
        </w:rPr>
        <w:t>a universal application of these transportation re-pricing measures could reduce GHG emissions by 257 million metric tons (MMT) of carbon dioxide equivalent (CO</w:t>
      </w:r>
      <w:r w:rsidR="00D648B2" w:rsidRPr="00C32F94">
        <w:rPr>
          <w:rFonts w:ascii="Times New Roman" w:hAnsi="Times New Roman" w:cs="Times New Roman"/>
          <w:sz w:val="24"/>
          <w:szCs w:val="24"/>
          <w:vertAlign w:val="subscript"/>
        </w:rPr>
        <w:t>2</w:t>
      </w:r>
      <w:r w:rsidR="00D648B2" w:rsidRPr="00C32F94">
        <w:rPr>
          <w:rFonts w:ascii="Times New Roman" w:hAnsi="Times New Roman" w:cs="Times New Roman"/>
          <w:sz w:val="24"/>
          <w:szCs w:val="24"/>
        </w:rPr>
        <w:t>e) in year-2030 or 69% of the 375 MMT of CO</w:t>
      </w:r>
      <w:r w:rsidR="00D648B2" w:rsidRPr="00C32F94">
        <w:rPr>
          <w:rFonts w:ascii="Times New Roman" w:hAnsi="Times New Roman" w:cs="Times New Roman"/>
          <w:sz w:val="24"/>
          <w:szCs w:val="24"/>
          <w:vertAlign w:val="subscript"/>
        </w:rPr>
        <w:t>2</w:t>
      </w:r>
      <w:r w:rsidR="00D648B2" w:rsidRPr="00C32F94">
        <w:rPr>
          <w:rFonts w:ascii="Times New Roman" w:hAnsi="Times New Roman" w:cs="Times New Roman"/>
          <w:sz w:val="24"/>
          <w:szCs w:val="24"/>
        </w:rPr>
        <w:t>e reduction projected to result from implementation of the Clean Power Plan rule.</w:t>
      </w:r>
      <w:r w:rsidR="004F592D">
        <w:rPr>
          <w:rFonts w:ascii="Times New Roman" w:hAnsi="Times New Roman" w:cs="Times New Roman"/>
          <w:sz w:val="24"/>
          <w:szCs w:val="24"/>
        </w:rPr>
        <w:t xml:space="preserve">  </w:t>
      </w:r>
    </w:p>
    <w:p w14:paraId="0F2DFFDE" w14:textId="2F3F6866" w:rsidR="004A0EBF" w:rsidRPr="00C32F94" w:rsidRDefault="004F592D" w:rsidP="00C32F94">
      <w:pPr>
        <w:rPr>
          <w:rFonts w:ascii="Times New Roman" w:hAnsi="Times New Roman" w:cs="Times New Roman"/>
          <w:sz w:val="24"/>
          <w:szCs w:val="24"/>
        </w:rPr>
      </w:pPr>
      <w:r>
        <w:rPr>
          <w:rFonts w:ascii="Times New Roman" w:hAnsi="Times New Roman" w:cs="Times New Roman"/>
          <w:sz w:val="24"/>
          <w:szCs w:val="24"/>
        </w:rPr>
        <w:t xml:space="preserve">Isolating the results </w:t>
      </w:r>
      <w:r w:rsidR="005F08DB">
        <w:rPr>
          <w:rFonts w:ascii="Times New Roman" w:hAnsi="Times New Roman" w:cs="Times New Roman"/>
          <w:sz w:val="24"/>
          <w:szCs w:val="24"/>
        </w:rPr>
        <w:t xml:space="preserve">of </w:t>
      </w:r>
      <w:r>
        <w:rPr>
          <w:rFonts w:ascii="Times New Roman" w:hAnsi="Times New Roman" w:cs="Times New Roman"/>
          <w:sz w:val="24"/>
          <w:szCs w:val="24"/>
        </w:rPr>
        <w:t>the 1</w:t>
      </w:r>
      <w:r w:rsidR="00A94BCC">
        <w:rPr>
          <w:rFonts w:ascii="Times New Roman" w:hAnsi="Times New Roman" w:cs="Times New Roman"/>
          <w:sz w:val="24"/>
          <w:szCs w:val="24"/>
        </w:rPr>
        <w:t>3</w:t>
      </w:r>
      <w:r>
        <w:rPr>
          <w:rFonts w:ascii="Times New Roman" w:hAnsi="Times New Roman" w:cs="Times New Roman"/>
          <w:sz w:val="24"/>
          <w:szCs w:val="24"/>
        </w:rPr>
        <w:t xml:space="preserve"> TCI </w:t>
      </w:r>
      <w:r w:rsidR="00A94BCC">
        <w:rPr>
          <w:rFonts w:ascii="Times New Roman" w:hAnsi="Times New Roman" w:cs="Times New Roman"/>
          <w:sz w:val="24"/>
          <w:szCs w:val="24"/>
        </w:rPr>
        <w:t xml:space="preserve">jurisdictions (12 </w:t>
      </w:r>
      <w:r>
        <w:rPr>
          <w:rFonts w:ascii="Times New Roman" w:hAnsi="Times New Roman" w:cs="Times New Roman"/>
          <w:sz w:val="24"/>
          <w:szCs w:val="24"/>
        </w:rPr>
        <w:t>states</w:t>
      </w:r>
      <w:r w:rsidR="00A94BCC">
        <w:rPr>
          <w:rFonts w:ascii="Times New Roman" w:hAnsi="Times New Roman" w:cs="Times New Roman"/>
          <w:sz w:val="24"/>
          <w:szCs w:val="24"/>
        </w:rPr>
        <w:t xml:space="preserve"> plus the District of Columbia)</w:t>
      </w:r>
      <w:r w:rsidR="00D63411">
        <w:rPr>
          <w:rFonts w:ascii="Times New Roman" w:hAnsi="Times New Roman" w:cs="Times New Roman"/>
          <w:sz w:val="24"/>
          <w:szCs w:val="24"/>
        </w:rPr>
        <w:t xml:space="preserve"> from this study</w:t>
      </w:r>
      <w:r>
        <w:rPr>
          <w:rFonts w:ascii="Times New Roman" w:hAnsi="Times New Roman" w:cs="Times New Roman"/>
          <w:sz w:val="24"/>
          <w:szCs w:val="24"/>
        </w:rPr>
        <w:t>,</w:t>
      </w:r>
      <w:r w:rsidR="005F08DB">
        <w:rPr>
          <w:rFonts w:ascii="Times New Roman" w:hAnsi="Times New Roman" w:cs="Times New Roman"/>
          <w:sz w:val="24"/>
          <w:szCs w:val="24"/>
        </w:rPr>
        <w:t xml:space="preserve"> reductions of 45.8 MMT of </w:t>
      </w:r>
      <w:r w:rsidR="005F08DB" w:rsidRPr="00C32F94">
        <w:rPr>
          <w:rFonts w:ascii="Times New Roman" w:hAnsi="Times New Roman" w:cs="Times New Roman"/>
          <w:sz w:val="24"/>
          <w:szCs w:val="24"/>
        </w:rPr>
        <w:t>CO</w:t>
      </w:r>
      <w:r w:rsidR="005F08DB" w:rsidRPr="00C32F94">
        <w:rPr>
          <w:rFonts w:ascii="Times New Roman" w:hAnsi="Times New Roman" w:cs="Times New Roman"/>
          <w:sz w:val="24"/>
          <w:szCs w:val="24"/>
          <w:vertAlign w:val="subscript"/>
        </w:rPr>
        <w:t>2</w:t>
      </w:r>
      <w:r w:rsidR="005F08DB" w:rsidRPr="00C32F94">
        <w:rPr>
          <w:rFonts w:ascii="Times New Roman" w:hAnsi="Times New Roman" w:cs="Times New Roman"/>
          <w:sz w:val="24"/>
          <w:szCs w:val="24"/>
        </w:rPr>
        <w:t>e</w:t>
      </w:r>
      <w:r w:rsidR="005F08DB">
        <w:rPr>
          <w:rFonts w:ascii="Times New Roman" w:hAnsi="Times New Roman" w:cs="Times New Roman"/>
          <w:sz w:val="24"/>
          <w:szCs w:val="24"/>
        </w:rPr>
        <w:t xml:space="preserve"> in year-2030 </w:t>
      </w:r>
      <w:r w:rsidR="00D63411">
        <w:rPr>
          <w:rFonts w:ascii="Times New Roman" w:hAnsi="Times New Roman" w:cs="Times New Roman"/>
          <w:sz w:val="24"/>
          <w:szCs w:val="24"/>
        </w:rPr>
        <w:t>we</w:t>
      </w:r>
      <w:r w:rsidR="005F08DB">
        <w:rPr>
          <w:rFonts w:ascii="Times New Roman" w:hAnsi="Times New Roman" w:cs="Times New Roman"/>
          <w:sz w:val="24"/>
          <w:szCs w:val="24"/>
        </w:rPr>
        <w:t xml:space="preserve">re projected from the transportation price-shifting bundle, or more than triple the 13.5 MMT projected reductions of </w:t>
      </w:r>
      <w:r w:rsidR="005F08DB" w:rsidRPr="00C32F94">
        <w:rPr>
          <w:rFonts w:ascii="Times New Roman" w:hAnsi="Times New Roman" w:cs="Times New Roman"/>
          <w:sz w:val="24"/>
          <w:szCs w:val="24"/>
        </w:rPr>
        <w:t>CO</w:t>
      </w:r>
      <w:r w:rsidR="005F08DB" w:rsidRPr="00C32F94">
        <w:rPr>
          <w:rFonts w:ascii="Times New Roman" w:hAnsi="Times New Roman" w:cs="Times New Roman"/>
          <w:sz w:val="24"/>
          <w:szCs w:val="24"/>
          <w:vertAlign w:val="subscript"/>
        </w:rPr>
        <w:t>2</w:t>
      </w:r>
      <w:r w:rsidR="005F08DB" w:rsidRPr="00C32F94">
        <w:rPr>
          <w:rFonts w:ascii="Times New Roman" w:hAnsi="Times New Roman" w:cs="Times New Roman"/>
          <w:sz w:val="24"/>
          <w:szCs w:val="24"/>
        </w:rPr>
        <w:t>e</w:t>
      </w:r>
      <w:r w:rsidR="005F08DB">
        <w:rPr>
          <w:rFonts w:ascii="Times New Roman" w:hAnsi="Times New Roman" w:cs="Times New Roman"/>
          <w:sz w:val="24"/>
          <w:szCs w:val="24"/>
        </w:rPr>
        <w:t xml:space="preserve"> from the Clean Power Plan. </w:t>
      </w:r>
      <w:r w:rsidR="0043085C">
        <w:rPr>
          <w:rFonts w:ascii="Times New Roman" w:hAnsi="Times New Roman" w:cs="Times New Roman"/>
          <w:sz w:val="24"/>
          <w:szCs w:val="24"/>
        </w:rPr>
        <w:t xml:space="preserve"> Using the same modeling approach to estimate the impacts of a $50 price per ton of transportation emissions on TCI states (anchored off </w:t>
      </w:r>
      <w:r w:rsidR="008132F9">
        <w:rPr>
          <w:rFonts w:ascii="Times New Roman" w:hAnsi="Times New Roman" w:cs="Times New Roman"/>
          <w:sz w:val="24"/>
          <w:szCs w:val="24"/>
        </w:rPr>
        <w:t xml:space="preserve">the U.S. Government Interagency Working Group on Social Cost of Carbon 2015 </w:t>
      </w:r>
      <w:r w:rsidR="0043085C">
        <w:rPr>
          <w:rFonts w:ascii="Times New Roman" w:hAnsi="Times New Roman" w:cs="Times New Roman"/>
          <w:sz w:val="24"/>
          <w:szCs w:val="24"/>
        </w:rPr>
        <w:t xml:space="preserve">assessment), projected reductions of </w:t>
      </w:r>
      <w:r w:rsidR="0043085C" w:rsidRPr="00C32F94">
        <w:rPr>
          <w:rFonts w:ascii="Times New Roman" w:hAnsi="Times New Roman" w:cs="Times New Roman"/>
          <w:sz w:val="24"/>
          <w:szCs w:val="24"/>
        </w:rPr>
        <w:t>CO</w:t>
      </w:r>
      <w:r w:rsidR="0043085C" w:rsidRPr="00C32F94">
        <w:rPr>
          <w:rFonts w:ascii="Times New Roman" w:hAnsi="Times New Roman" w:cs="Times New Roman"/>
          <w:sz w:val="24"/>
          <w:szCs w:val="24"/>
          <w:vertAlign w:val="subscript"/>
        </w:rPr>
        <w:t>2</w:t>
      </w:r>
      <w:r w:rsidR="0043085C" w:rsidRPr="00C32F94">
        <w:rPr>
          <w:rFonts w:ascii="Times New Roman" w:hAnsi="Times New Roman" w:cs="Times New Roman"/>
          <w:sz w:val="24"/>
          <w:szCs w:val="24"/>
        </w:rPr>
        <w:t>e</w:t>
      </w:r>
      <w:r w:rsidR="0043085C">
        <w:rPr>
          <w:rFonts w:ascii="Times New Roman" w:hAnsi="Times New Roman" w:cs="Times New Roman"/>
          <w:sz w:val="24"/>
          <w:szCs w:val="24"/>
        </w:rPr>
        <w:t xml:space="preserve"> (excluding consideration of revenue use) would be 15.4 MMT.</w:t>
      </w:r>
      <w:r w:rsidR="00537FAD">
        <w:rPr>
          <w:rFonts w:ascii="Times New Roman" w:hAnsi="Times New Roman" w:cs="Times New Roman"/>
          <w:sz w:val="24"/>
          <w:szCs w:val="24"/>
        </w:rPr>
        <w:t xml:space="preserve">  Nationally, it was calculated that the transportation re-pricing policy bundle would on its own reduce year-2030 vehicle miles traveled (VMT) and carbon emissions by 23.2% </w:t>
      </w:r>
      <w:r w:rsidR="00D63411">
        <w:rPr>
          <w:rFonts w:ascii="Times New Roman" w:hAnsi="Times New Roman" w:cs="Times New Roman"/>
          <w:sz w:val="24"/>
          <w:szCs w:val="24"/>
        </w:rPr>
        <w:t xml:space="preserve">(a 257 MMT </w:t>
      </w:r>
      <w:r w:rsidR="00D63411" w:rsidRPr="00C32F94">
        <w:rPr>
          <w:rFonts w:ascii="Times New Roman" w:hAnsi="Times New Roman" w:cs="Times New Roman"/>
          <w:sz w:val="24"/>
          <w:szCs w:val="24"/>
        </w:rPr>
        <w:t>CO</w:t>
      </w:r>
      <w:r w:rsidR="00D63411" w:rsidRPr="00C32F94">
        <w:rPr>
          <w:rFonts w:ascii="Times New Roman" w:hAnsi="Times New Roman" w:cs="Times New Roman"/>
          <w:sz w:val="24"/>
          <w:szCs w:val="24"/>
          <w:vertAlign w:val="subscript"/>
        </w:rPr>
        <w:t>2</w:t>
      </w:r>
      <w:r w:rsidR="00D63411" w:rsidRPr="00C32F94">
        <w:rPr>
          <w:rFonts w:ascii="Times New Roman" w:hAnsi="Times New Roman" w:cs="Times New Roman"/>
          <w:sz w:val="24"/>
          <w:szCs w:val="24"/>
        </w:rPr>
        <w:t>e</w:t>
      </w:r>
      <w:r w:rsidR="00D63411">
        <w:rPr>
          <w:rFonts w:ascii="Times New Roman" w:hAnsi="Times New Roman" w:cs="Times New Roman"/>
          <w:sz w:val="24"/>
          <w:szCs w:val="24"/>
        </w:rPr>
        <w:t xml:space="preserve"> reduction from the 1,108 MMT </w:t>
      </w:r>
      <w:r w:rsidR="00D63411" w:rsidRPr="00C32F94">
        <w:rPr>
          <w:rFonts w:ascii="Times New Roman" w:hAnsi="Times New Roman" w:cs="Times New Roman"/>
          <w:sz w:val="24"/>
          <w:szCs w:val="24"/>
        </w:rPr>
        <w:t>CO</w:t>
      </w:r>
      <w:r w:rsidR="00D63411" w:rsidRPr="00C32F94">
        <w:rPr>
          <w:rFonts w:ascii="Times New Roman" w:hAnsi="Times New Roman" w:cs="Times New Roman"/>
          <w:sz w:val="24"/>
          <w:szCs w:val="24"/>
          <w:vertAlign w:val="subscript"/>
        </w:rPr>
        <w:t>2</w:t>
      </w:r>
      <w:r w:rsidR="00D63411" w:rsidRPr="00C32F94">
        <w:rPr>
          <w:rFonts w:ascii="Times New Roman" w:hAnsi="Times New Roman" w:cs="Times New Roman"/>
          <w:sz w:val="24"/>
          <w:szCs w:val="24"/>
        </w:rPr>
        <w:t>e</w:t>
      </w:r>
      <w:r w:rsidR="00D63411">
        <w:rPr>
          <w:rFonts w:ascii="Times New Roman" w:hAnsi="Times New Roman" w:cs="Times New Roman"/>
          <w:sz w:val="24"/>
          <w:szCs w:val="24"/>
        </w:rPr>
        <w:t xml:space="preserve"> U.S. EIA </w:t>
      </w:r>
      <w:r w:rsidR="001773B8">
        <w:rPr>
          <w:rFonts w:ascii="Times New Roman" w:hAnsi="Times New Roman" w:cs="Times New Roman"/>
          <w:sz w:val="24"/>
          <w:szCs w:val="24"/>
        </w:rPr>
        <w:t xml:space="preserve">VISION </w:t>
      </w:r>
      <w:r w:rsidR="00D63411">
        <w:rPr>
          <w:rFonts w:ascii="Times New Roman" w:hAnsi="Times New Roman" w:cs="Times New Roman"/>
          <w:sz w:val="24"/>
          <w:szCs w:val="24"/>
        </w:rPr>
        <w:t>2014 AEO Base Case light-duty vehicle emissions projected)</w:t>
      </w:r>
      <w:r w:rsidR="00537FAD">
        <w:rPr>
          <w:rFonts w:ascii="Times New Roman" w:hAnsi="Times New Roman" w:cs="Times New Roman"/>
          <w:sz w:val="24"/>
          <w:szCs w:val="24"/>
        </w:rPr>
        <w:t>, within the range of the</w:t>
      </w:r>
      <w:r w:rsidR="009E4F82">
        <w:rPr>
          <w:rFonts w:ascii="Times New Roman" w:hAnsi="Times New Roman" w:cs="Times New Roman"/>
          <w:sz w:val="24"/>
          <w:szCs w:val="24"/>
        </w:rPr>
        <w:t xml:space="preserve"> 20-25%</w:t>
      </w:r>
      <w:r w:rsidR="00537FAD">
        <w:rPr>
          <w:rFonts w:ascii="Times New Roman" w:hAnsi="Times New Roman" w:cs="Times New Roman"/>
          <w:sz w:val="24"/>
          <w:szCs w:val="24"/>
        </w:rPr>
        <w:t xml:space="preserve"> emission reductions being sought by TCI.</w:t>
      </w:r>
      <w:r w:rsidR="002E2420">
        <w:rPr>
          <w:rFonts w:ascii="Times New Roman" w:hAnsi="Times New Roman" w:cs="Times New Roman"/>
          <w:sz w:val="24"/>
          <w:szCs w:val="24"/>
        </w:rPr>
        <w:t xml:space="preserve">  At first glance, this figure might seem high, but it results from a very substantial amount of transportation re-pricing that would be occurring due to the modeled policy.</w:t>
      </w:r>
    </w:p>
    <w:p w14:paraId="2D8E2DB8" w14:textId="1D6D1680" w:rsidR="004F592D" w:rsidRDefault="00FC6222" w:rsidP="00C32F94">
      <w:pPr>
        <w:rPr>
          <w:rFonts w:ascii="Times New Roman" w:hAnsi="Times New Roman" w:cs="Times New Roman"/>
          <w:sz w:val="24"/>
          <w:szCs w:val="24"/>
        </w:rPr>
      </w:pPr>
      <w:r w:rsidRPr="00C32F94">
        <w:rPr>
          <w:rFonts w:ascii="Times New Roman" w:hAnsi="Times New Roman" w:cs="Times New Roman"/>
          <w:sz w:val="24"/>
          <w:szCs w:val="24"/>
        </w:rPr>
        <w:t>The original research focused on nationwide implementation</w:t>
      </w:r>
      <w:r w:rsidR="00C97D14">
        <w:rPr>
          <w:rFonts w:ascii="Times New Roman" w:hAnsi="Times New Roman" w:cs="Times New Roman"/>
          <w:sz w:val="24"/>
          <w:szCs w:val="24"/>
        </w:rPr>
        <w:t xml:space="preserve"> of transportation price shifting</w:t>
      </w:r>
      <w:r w:rsidRPr="00C32F94">
        <w:rPr>
          <w:rFonts w:ascii="Times New Roman" w:hAnsi="Times New Roman" w:cs="Times New Roman"/>
          <w:sz w:val="24"/>
          <w:szCs w:val="24"/>
        </w:rPr>
        <w:t xml:space="preserve">, envisioned to occur through a </w:t>
      </w:r>
      <w:r w:rsidR="00D648B2" w:rsidRPr="00C32F94">
        <w:rPr>
          <w:rFonts w:ascii="Times New Roman" w:hAnsi="Times New Roman" w:cs="Times New Roman"/>
          <w:sz w:val="24"/>
          <w:szCs w:val="24"/>
        </w:rPr>
        <w:t>regulatory requirement enabled by Section 115 of the Clean Air Act (allowing, according to</w:t>
      </w:r>
      <w:r w:rsidR="000E2183" w:rsidRPr="00C32F94">
        <w:rPr>
          <w:rFonts w:ascii="Times New Roman" w:hAnsi="Times New Roman" w:cs="Times New Roman"/>
          <w:sz w:val="24"/>
          <w:szCs w:val="24"/>
        </w:rPr>
        <w:t xml:space="preserve"> multiple highly-regarded</w:t>
      </w:r>
      <w:r w:rsidR="00D648B2" w:rsidRPr="00C32F94">
        <w:rPr>
          <w:rFonts w:ascii="Times New Roman" w:hAnsi="Times New Roman" w:cs="Times New Roman"/>
          <w:sz w:val="24"/>
          <w:szCs w:val="24"/>
        </w:rPr>
        <w:t xml:space="preserve"> law professors, </w:t>
      </w:r>
      <w:r w:rsidR="000E2183" w:rsidRPr="00C32F94">
        <w:rPr>
          <w:rFonts w:ascii="Times New Roman" w:hAnsi="Times New Roman" w:cs="Times New Roman"/>
          <w:sz w:val="24"/>
          <w:szCs w:val="24"/>
        </w:rPr>
        <w:t xml:space="preserve">the President </w:t>
      </w:r>
      <w:r w:rsidR="00D648B2" w:rsidRPr="00C32F94">
        <w:rPr>
          <w:rFonts w:ascii="Times New Roman" w:hAnsi="Times New Roman" w:cs="Times New Roman"/>
          <w:sz w:val="24"/>
          <w:szCs w:val="24"/>
        </w:rPr>
        <w:t xml:space="preserve">to enact regulations to limit </w:t>
      </w:r>
      <w:r w:rsidR="00FF024F" w:rsidRPr="00C32F94">
        <w:rPr>
          <w:rFonts w:ascii="Times New Roman" w:hAnsi="Times New Roman" w:cs="Times New Roman"/>
          <w:sz w:val="24"/>
          <w:szCs w:val="24"/>
        </w:rPr>
        <w:t>“International Air Pollution”</w:t>
      </w:r>
      <w:r w:rsidR="00D648B2" w:rsidRPr="00C32F94">
        <w:rPr>
          <w:rFonts w:ascii="Times New Roman" w:hAnsi="Times New Roman" w:cs="Times New Roman"/>
          <w:sz w:val="24"/>
          <w:szCs w:val="24"/>
        </w:rPr>
        <w:t xml:space="preserve"> such as carbon emissions</w:t>
      </w:r>
      <w:r w:rsidR="00FF024F" w:rsidRPr="00C32F94">
        <w:rPr>
          <w:rFonts w:ascii="Times New Roman" w:hAnsi="Times New Roman" w:cs="Times New Roman"/>
          <w:sz w:val="24"/>
          <w:szCs w:val="24"/>
        </w:rPr>
        <w:t xml:space="preserve">, where reciprocal actions are taken by </w:t>
      </w:r>
      <w:r w:rsidR="000E2183" w:rsidRPr="00C32F94">
        <w:rPr>
          <w:rFonts w:ascii="Times New Roman" w:hAnsi="Times New Roman" w:cs="Times New Roman"/>
          <w:sz w:val="24"/>
          <w:szCs w:val="24"/>
        </w:rPr>
        <w:t xml:space="preserve">other </w:t>
      </w:r>
      <w:r w:rsidR="00FF024F" w:rsidRPr="00C32F94">
        <w:rPr>
          <w:rFonts w:ascii="Times New Roman" w:hAnsi="Times New Roman" w:cs="Times New Roman"/>
          <w:sz w:val="24"/>
          <w:szCs w:val="24"/>
        </w:rPr>
        <w:t>impacted nations</w:t>
      </w:r>
      <w:r w:rsidR="00D648B2" w:rsidRPr="00C32F94">
        <w:rPr>
          <w:rFonts w:ascii="Times New Roman" w:hAnsi="Times New Roman" w:cs="Times New Roman"/>
          <w:sz w:val="24"/>
          <w:szCs w:val="24"/>
        </w:rPr>
        <w:t xml:space="preserve">).  </w:t>
      </w:r>
      <w:r w:rsidR="004F592D">
        <w:rPr>
          <w:rFonts w:ascii="Times New Roman" w:hAnsi="Times New Roman" w:cs="Times New Roman"/>
          <w:sz w:val="24"/>
          <w:szCs w:val="24"/>
        </w:rPr>
        <w:t>T</w:t>
      </w:r>
      <w:r w:rsidR="004F592D" w:rsidRPr="00C32F94">
        <w:rPr>
          <w:rFonts w:ascii="Times New Roman" w:hAnsi="Times New Roman" w:cs="Times New Roman"/>
          <w:sz w:val="24"/>
          <w:szCs w:val="24"/>
        </w:rPr>
        <w:t xml:space="preserve">he regulatory strategy would have required states to have met driving-related emission targets derived from statewide implementation of all </w:t>
      </w:r>
      <w:r w:rsidR="00C97D14">
        <w:rPr>
          <w:rFonts w:ascii="Times New Roman" w:hAnsi="Times New Roman" w:cs="Times New Roman"/>
          <w:sz w:val="24"/>
          <w:szCs w:val="24"/>
        </w:rPr>
        <w:t>three of the transportation re-pricing</w:t>
      </w:r>
      <w:r w:rsidR="004F592D" w:rsidRPr="00C32F94">
        <w:rPr>
          <w:rFonts w:ascii="Times New Roman" w:hAnsi="Times New Roman" w:cs="Times New Roman"/>
          <w:sz w:val="24"/>
          <w:szCs w:val="24"/>
        </w:rPr>
        <w:t xml:space="preserve"> policies, </w:t>
      </w:r>
      <w:r w:rsidR="00C97D14">
        <w:rPr>
          <w:rFonts w:ascii="Times New Roman" w:hAnsi="Times New Roman" w:cs="Times New Roman"/>
          <w:sz w:val="24"/>
          <w:szCs w:val="24"/>
        </w:rPr>
        <w:t xml:space="preserve">which is </w:t>
      </w:r>
      <w:r w:rsidR="004F592D" w:rsidRPr="00C32F94">
        <w:rPr>
          <w:rFonts w:ascii="Times New Roman" w:hAnsi="Times New Roman" w:cs="Times New Roman"/>
          <w:sz w:val="24"/>
          <w:szCs w:val="24"/>
        </w:rPr>
        <w:t xml:space="preserve">modeled loosely after the approach of the Clean Power Plan, where a state would need to find equivalent emission reductions to policy best practices if </w:t>
      </w:r>
      <w:r w:rsidR="004F592D">
        <w:rPr>
          <w:rFonts w:ascii="Times New Roman" w:hAnsi="Times New Roman" w:cs="Times New Roman"/>
          <w:sz w:val="24"/>
          <w:szCs w:val="24"/>
        </w:rPr>
        <w:t>its political leaders</w:t>
      </w:r>
      <w:r w:rsidR="004F592D" w:rsidRPr="00C32F94">
        <w:rPr>
          <w:rFonts w:ascii="Times New Roman" w:hAnsi="Times New Roman" w:cs="Times New Roman"/>
          <w:sz w:val="24"/>
          <w:szCs w:val="24"/>
        </w:rPr>
        <w:t xml:space="preserve"> did not want to fully enact such practices</w:t>
      </w:r>
      <w:r w:rsidR="00C97D14">
        <w:rPr>
          <w:rFonts w:ascii="Times New Roman" w:hAnsi="Times New Roman" w:cs="Times New Roman"/>
          <w:sz w:val="24"/>
          <w:szCs w:val="24"/>
        </w:rPr>
        <w:t xml:space="preserve"> (</w:t>
      </w:r>
      <w:r w:rsidR="008F475D">
        <w:rPr>
          <w:rFonts w:ascii="Times New Roman" w:hAnsi="Times New Roman" w:cs="Times New Roman"/>
          <w:sz w:val="24"/>
          <w:szCs w:val="24"/>
        </w:rPr>
        <w:t>with states enacting all of the best practices automatically considered compliant)</w:t>
      </w:r>
      <w:r w:rsidR="004F592D" w:rsidRPr="00C32F94">
        <w:rPr>
          <w:rFonts w:ascii="Times New Roman" w:hAnsi="Times New Roman" w:cs="Times New Roman"/>
          <w:sz w:val="24"/>
          <w:szCs w:val="24"/>
        </w:rPr>
        <w:t xml:space="preserve">.  </w:t>
      </w:r>
    </w:p>
    <w:p w14:paraId="22F98D6D" w14:textId="26AE83A3" w:rsidR="00D84C64" w:rsidRPr="00C32F94" w:rsidRDefault="00D648B2" w:rsidP="00C32F94">
      <w:pPr>
        <w:rPr>
          <w:rFonts w:ascii="Times New Roman" w:hAnsi="Times New Roman" w:cs="Times New Roman"/>
          <w:sz w:val="24"/>
          <w:szCs w:val="24"/>
        </w:rPr>
      </w:pPr>
      <w:r w:rsidRPr="00C32F94">
        <w:rPr>
          <w:rFonts w:ascii="Times New Roman" w:hAnsi="Times New Roman" w:cs="Times New Roman"/>
          <w:sz w:val="24"/>
          <w:szCs w:val="24"/>
        </w:rPr>
        <w:t xml:space="preserve">The combination of now having a U.S. President disinterested in carbon reductions, which could change in the next election, </w:t>
      </w:r>
      <w:r w:rsidR="00B81E8C">
        <w:rPr>
          <w:rFonts w:ascii="Times New Roman" w:hAnsi="Times New Roman" w:cs="Times New Roman"/>
          <w:sz w:val="24"/>
          <w:szCs w:val="24"/>
        </w:rPr>
        <w:t>and</w:t>
      </w:r>
      <w:r w:rsidRPr="00C32F94">
        <w:rPr>
          <w:rFonts w:ascii="Times New Roman" w:hAnsi="Times New Roman" w:cs="Times New Roman"/>
          <w:sz w:val="24"/>
          <w:szCs w:val="24"/>
        </w:rPr>
        <w:t xml:space="preserve"> perhaps more importantly a conservative-leaning U.S. Supreme Court that stayed </w:t>
      </w:r>
      <w:r w:rsidR="00183DC5" w:rsidRPr="00C32F94">
        <w:rPr>
          <w:rFonts w:ascii="Times New Roman" w:hAnsi="Times New Roman" w:cs="Times New Roman"/>
          <w:sz w:val="24"/>
          <w:szCs w:val="24"/>
        </w:rPr>
        <w:t xml:space="preserve">enforcement of </w:t>
      </w:r>
      <w:r w:rsidRPr="00C32F94">
        <w:rPr>
          <w:rFonts w:ascii="Times New Roman" w:hAnsi="Times New Roman" w:cs="Times New Roman"/>
          <w:sz w:val="24"/>
          <w:szCs w:val="24"/>
        </w:rPr>
        <w:t xml:space="preserve">the Obama Administration’s Clean Power Plan that was also based on tapping regulatory authority from the Clean Air Act (although </w:t>
      </w:r>
      <w:r w:rsidR="00B81E8C">
        <w:rPr>
          <w:rFonts w:ascii="Times New Roman" w:hAnsi="Times New Roman" w:cs="Times New Roman"/>
          <w:sz w:val="24"/>
          <w:szCs w:val="24"/>
        </w:rPr>
        <w:t xml:space="preserve">from Section 111, </w:t>
      </w:r>
      <w:r w:rsidR="00B81E8C">
        <w:rPr>
          <w:rFonts w:ascii="Times New Roman" w:hAnsi="Times New Roman" w:cs="Times New Roman"/>
          <w:sz w:val="24"/>
          <w:szCs w:val="24"/>
        </w:rPr>
        <w:lastRenderedPageBreak/>
        <w:t>instead of Section 115</w:t>
      </w:r>
      <w:r w:rsidRPr="00C32F94">
        <w:rPr>
          <w:rFonts w:ascii="Times New Roman" w:hAnsi="Times New Roman" w:cs="Times New Roman"/>
          <w:sz w:val="24"/>
          <w:szCs w:val="24"/>
        </w:rPr>
        <w:t xml:space="preserve">), suggests that </w:t>
      </w:r>
      <w:r w:rsidR="002011C2">
        <w:rPr>
          <w:rFonts w:ascii="Times New Roman" w:hAnsi="Times New Roman" w:cs="Times New Roman"/>
          <w:sz w:val="24"/>
          <w:szCs w:val="24"/>
        </w:rPr>
        <w:t>Federal</w:t>
      </w:r>
      <w:r w:rsidRPr="00C32F94">
        <w:rPr>
          <w:rFonts w:ascii="Times New Roman" w:hAnsi="Times New Roman" w:cs="Times New Roman"/>
          <w:sz w:val="24"/>
          <w:szCs w:val="24"/>
        </w:rPr>
        <w:t xml:space="preserve"> </w:t>
      </w:r>
      <w:r w:rsidR="00AD09FB">
        <w:rPr>
          <w:rFonts w:ascii="Times New Roman" w:hAnsi="Times New Roman" w:cs="Times New Roman"/>
          <w:sz w:val="24"/>
          <w:szCs w:val="24"/>
        </w:rPr>
        <w:t>regulatory action</w:t>
      </w:r>
      <w:r w:rsidR="00354E79">
        <w:rPr>
          <w:rFonts w:ascii="Times New Roman" w:hAnsi="Times New Roman" w:cs="Times New Roman"/>
          <w:sz w:val="24"/>
          <w:szCs w:val="24"/>
        </w:rPr>
        <w:t xml:space="preserve"> </w:t>
      </w:r>
      <w:r w:rsidRPr="00C32F94">
        <w:rPr>
          <w:rFonts w:ascii="Times New Roman" w:hAnsi="Times New Roman" w:cs="Times New Roman"/>
          <w:sz w:val="24"/>
          <w:szCs w:val="24"/>
        </w:rPr>
        <w:t>to advance transportation price-shifting strategies nationally (along with other carbon reduction strategies)</w:t>
      </w:r>
      <w:r w:rsidR="00AD09FB">
        <w:rPr>
          <w:rFonts w:ascii="Times New Roman" w:hAnsi="Times New Roman" w:cs="Times New Roman"/>
          <w:sz w:val="24"/>
          <w:szCs w:val="24"/>
        </w:rPr>
        <w:t xml:space="preserve"> is, at least under the current Administration, not going to happen</w:t>
      </w:r>
      <w:r w:rsidR="00FC6222" w:rsidRPr="00C32F94">
        <w:rPr>
          <w:rFonts w:ascii="Times New Roman" w:hAnsi="Times New Roman" w:cs="Times New Roman"/>
          <w:sz w:val="24"/>
          <w:szCs w:val="24"/>
        </w:rPr>
        <w:t xml:space="preserve">.  </w:t>
      </w:r>
      <w:r w:rsidR="004F592D">
        <w:rPr>
          <w:rFonts w:ascii="Times New Roman" w:hAnsi="Times New Roman" w:cs="Times New Roman"/>
          <w:sz w:val="24"/>
          <w:szCs w:val="24"/>
        </w:rPr>
        <w:t xml:space="preserve">Nevertheless, individual states, or a group of states such as through TCI, could agree to implementing the bundle of state-level transportation price-shifting strategies </w:t>
      </w:r>
      <w:r w:rsidR="00FC429B">
        <w:rPr>
          <w:rFonts w:ascii="Times New Roman" w:hAnsi="Times New Roman" w:cs="Times New Roman"/>
          <w:sz w:val="24"/>
          <w:szCs w:val="24"/>
        </w:rPr>
        <w:t>(</w:t>
      </w:r>
      <w:r w:rsidR="004F592D">
        <w:rPr>
          <w:rFonts w:ascii="Times New Roman" w:hAnsi="Times New Roman" w:cs="Times New Roman"/>
          <w:sz w:val="24"/>
          <w:szCs w:val="24"/>
        </w:rPr>
        <w:t xml:space="preserve">or to </w:t>
      </w:r>
      <w:r w:rsidR="00FC429B">
        <w:rPr>
          <w:rFonts w:ascii="Times New Roman" w:hAnsi="Times New Roman" w:cs="Times New Roman"/>
          <w:sz w:val="24"/>
          <w:szCs w:val="24"/>
        </w:rPr>
        <w:t>find equivalent emission reductions, if preferred) to achieve the modeled carbon emission reductions</w:t>
      </w:r>
      <w:r w:rsidR="009065E4">
        <w:rPr>
          <w:rFonts w:ascii="Times New Roman" w:hAnsi="Times New Roman" w:cs="Times New Roman"/>
          <w:sz w:val="24"/>
          <w:szCs w:val="24"/>
        </w:rPr>
        <w:t xml:space="preserve"> in their states</w:t>
      </w:r>
      <w:r w:rsidR="00FC429B">
        <w:rPr>
          <w:rFonts w:ascii="Times New Roman" w:hAnsi="Times New Roman" w:cs="Times New Roman"/>
          <w:sz w:val="24"/>
          <w:szCs w:val="24"/>
        </w:rPr>
        <w:t xml:space="preserve">. </w:t>
      </w:r>
    </w:p>
    <w:p w14:paraId="095D79A4" w14:textId="3016FD6A" w:rsidR="00D36D51" w:rsidRPr="00C32F94" w:rsidRDefault="000D6F1F" w:rsidP="00C32F94">
      <w:pPr>
        <w:rPr>
          <w:rFonts w:ascii="Times New Roman" w:hAnsi="Times New Roman" w:cs="Times New Roman"/>
          <w:sz w:val="24"/>
          <w:szCs w:val="24"/>
        </w:rPr>
      </w:pPr>
      <w:r w:rsidRPr="00C32F94">
        <w:rPr>
          <w:rFonts w:ascii="Times New Roman" w:hAnsi="Times New Roman" w:cs="Times New Roman"/>
          <w:sz w:val="24"/>
          <w:szCs w:val="24"/>
        </w:rPr>
        <w:t>A 2018 YouGov poll found a decent amount of public support for transportation re</w:t>
      </w:r>
      <w:r w:rsidR="00876FF0">
        <w:rPr>
          <w:rFonts w:ascii="Times New Roman" w:hAnsi="Times New Roman" w:cs="Times New Roman"/>
          <w:sz w:val="24"/>
          <w:szCs w:val="24"/>
        </w:rPr>
        <w:t>-</w:t>
      </w:r>
      <w:r w:rsidRPr="00C32F94">
        <w:rPr>
          <w:rFonts w:ascii="Times New Roman" w:hAnsi="Times New Roman" w:cs="Times New Roman"/>
          <w:sz w:val="24"/>
          <w:szCs w:val="24"/>
        </w:rPr>
        <w:t>pricing</w:t>
      </w:r>
      <w:r w:rsidR="00D84C64" w:rsidRPr="00C32F94">
        <w:rPr>
          <w:rFonts w:ascii="Times New Roman" w:hAnsi="Times New Roman" w:cs="Times New Roman"/>
          <w:sz w:val="24"/>
          <w:szCs w:val="24"/>
        </w:rPr>
        <w:t>, especially when compared to other transportation pricing strategies.</w:t>
      </w:r>
      <w:r w:rsidR="00D84C64" w:rsidRPr="00C32F94">
        <w:rPr>
          <w:rFonts w:ascii="Times New Roman" w:eastAsiaTheme="minorEastAsia" w:hAnsi="Times New Roman" w:cs="Times New Roman"/>
          <w:shadow/>
          <w:color w:val="000000" w:themeColor="text1"/>
          <w:sz w:val="24"/>
          <w:szCs w:val="24"/>
          <w14:shadow w14:blurRad="38100" w14:dist="38100" w14:dir="2700000" w14:sx="100000" w14:sy="100000" w14:kx="0" w14:ky="0" w14:algn="tl">
            <w14:srgbClr w14:val="000000">
              <w14:alpha w14:val="57000"/>
            </w14:srgbClr>
          </w14:shadow>
        </w:rPr>
        <w:t xml:space="preserve"> </w:t>
      </w:r>
      <w:r w:rsidR="00D84C64" w:rsidRPr="00C32F94">
        <w:rPr>
          <w:rFonts w:ascii="Times New Roman" w:hAnsi="Times New Roman" w:cs="Times New Roman"/>
          <w:sz w:val="24"/>
          <w:szCs w:val="24"/>
        </w:rPr>
        <w:t xml:space="preserve">Public support nationally for a 42 cent gasoline tax with revenues returned by lowering other personal taxes was at 44.7% (which about equals the voting percentage for Washington State’s Initiative 1631, where the gas price hike was to start at 13 cents per gallon and then was to rise to 48 cents in current dollars by 2035).  There was similar but slightly lower support (42.7%) if revenues are instead used for transportation purposes.  </w:t>
      </w:r>
      <w:r w:rsidR="00D718C1">
        <w:rPr>
          <w:rFonts w:ascii="Times New Roman" w:hAnsi="Times New Roman" w:cs="Times New Roman"/>
          <w:sz w:val="24"/>
          <w:szCs w:val="24"/>
        </w:rPr>
        <w:t>Support in the Northeast was found to be a bit higher</w:t>
      </w:r>
      <w:r w:rsidR="0010096F">
        <w:rPr>
          <w:rFonts w:ascii="Times New Roman" w:hAnsi="Times New Roman" w:cs="Times New Roman"/>
          <w:sz w:val="24"/>
          <w:szCs w:val="24"/>
        </w:rPr>
        <w:t xml:space="preserve"> at 50.0% with </w:t>
      </w:r>
      <w:r w:rsidR="00A94BCC">
        <w:rPr>
          <w:rFonts w:ascii="Times New Roman" w:hAnsi="Times New Roman" w:cs="Times New Roman"/>
          <w:sz w:val="24"/>
          <w:szCs w:val="24"/>
        </w:rPr>
        <w:t xml:space="preserve">gas tax </w:t>
      </w:r>
      <w:r w:rsidR="0010096F">
        <w:rPr>
          <w:rFonts w:ascii="Times New Roman" w:hAnsi="Times New Roman" w:cs="Times New Roman"/>
          <w:sz w:val="24"/>
          <w:szCs w:val="24"/>
        </w:rPr>
        <w:t xml:space="preserve">revenues returned to lower </w:t>
      </w:r>
      <w:r w:rsidR="00A94BCC">
        <w:rPr>
          <w:rFonts w:ascii="Times New Roman" w:hAnsi="Times New Roman" w:cs="Times New Roman"/>
          <w:sz w:val="24"/>
          <w:szCs w:val="24"/>
        </w:rPr>
        <w:t xml:space="preserve">other </w:t>
      </w:r>
      <w:r w:rsidR="0010096F">
        <w:rPr>
          <w:rFonts w:ascii="Times New Roman" w:hAnsi="Times New Roman" w:cs="Times New Roman"/>
          <w:sz w:val="24"/>
          <w:szCs w:val="24"/>
        </w:rPr>
        <w:t>taxes</w:t>
      </w:r>
      <w:r w:rsidR="00A94BCC">
        <w:rPr>
          <w:rFonts w:ascii="Times New Roman" w:hAnsi="Times New Roman" w:cs="Times New Roman"/>
          <w:sz w:val="24"/>
          <w:szCs w:val="24"/>
        </w:rPr>
        <w:t>, but</w:t>
      </w:r>
      <w:r w:rsidR="0010096F">
        <w:rPr>
          <w:rFonts w:ascii="Times New Roman" w:hAnsi="Times New Roman" w:cs="Times New Roman"/>
          <w:sz w:val="24"/>
          <w:szCs w:val="24"/>
        </w:rPr>
        <w:t xml:space="preserve"> only 46.6% if revenues are used to support transportation investments to reduce carbon emissions, as is the TCI plan.  </w:t>
      </w:r>
      <w:r w:rsidR="00E5753D">
        <w:rPr>
          <w:rFonts w:ascii="Times New Roman" w:hAnsi="Times New Roman" w:cs="Times New Roman"/>
          <w:sz w:val="24"/>
          <w:szCs w:val="24"/>
        </w:rPr>
        <w:t>Nationally, t</w:t>
      </w:r>
      <w:r w:rsidR="00D84C64" w:rsidRPr="00C32F94">
        <w:rPr>
          <w:rFonts w:ascii="Times New Roman" w:hAnsi="Times New Roman" w:cs="Times New Roman"/>
          <w:sz w:val="24"/>
          <w:szCs w:val="24"/>
        </w:rPr>
        <w:t>here was higher overall public support for PAYDAYS car insurance at 47.6%</w:t>
      </w:r>
      <w:r w:rsidR="0010096F">
        <w:rPr>
          <w:rFonts w:ascii="Times New Roman" w:hAnsi="Times New Roman" w:cs="Times New Roman"/>
          <w:sz w:val="24"/>
          <w:szCs w:val="24"/>
        </w:rPr>
        <w:t xml:space="preserve"> (53.0% in the Northeast)</w:t>
      </w:r>
      <w:r w:rsidR="00D84C64" w:rsidRPr="00C32F94">
        <w:rPr>
          <w:rFonts w:ascii="Times New Roman" w:hAnsi="Times New Roman" w:cs="Times New Roman"/>
          <w:sz w:val="24"/>
          <w:szCs w:val="24"/>
        </w:rPr>
        <w:t>, parking cash</w:t>
      </w:r>
      <w:r w:rsidR="006A4BDA">
        <w:rPr>
          <w:rFonts w:ascii="Times New Roman" w:hAnsi="Times New Roman" w:cs="Times New Roman"/>
          <w:sz w:val="24"/>
          <w:szCs w:val="24"/>
        </w:rPr>
        <w:t xml:space="preserve"> </w:t>
      </w:r>
      <w:r w:rsidR="00D84C64" w:rsidRPr="00C32F94">
        <w:rPr>
          <w:rFonts w:ascii="Times New Roman" w:hAnsi="Times New Roman" w:cs="Times New Roman"/>
          <w:sz w:val="24"/>
          <w:szCs w:val="24"/>
        </w:rPr>
        <w:t>out at 53.6%</w:t>
      </w:r>
      <w:r w:rsidR="0010096F">
        <w:rPr>
          <w:rFonts w:ascii="Times New Roman" w:hAnsi="Times New Roman" w:cs="Times New Roman"/>
          <w:sz w:val="24"/>
          <w:szCs w:val="24"/>
        </w:rPr>
        <w:t xml:space="preserve"> (57.2% in the Northeast)</w:t>
      </w:r>
      <w:r w:rsidR="00D84C64" w:rsidRPr="00C32F94">
        <w:rPr>
          <w:rFonts w:ascii="Times New Roman" w:hAnsi="Times New Roman" w:cs="Times New Roman"/>
          <w:sz w:val="24"/>
          <w:szCs w:val="24"/>
        </w:rPr>
        <w:t>, and converting vehicle sales taxes to comparable mileage fees at 53.1%</w:t>
      </w:r>
      <w:r w:rsidR="0010096F">
        <w:rPr>
          <w:rFonts w:ascii="Times New Roman" w:hAnsi="Times New Roman" w:cs="Times New Roman"/>
          <w:sz w:val="24"/>
          <w:szCs w:val="24"/>
        </w:rPr>
        <w:t xml:space="preserve"> (54.8% in the Northeast)</w:t>
      </w:r>
      <w:r w:rsidR="00D84C64" w:rsidRPr="00C32F94">
        <w:rPr>
          <w:rFonts w:ascii="Times New Roman" w:hAnsi="Times New Roman" w:cs="Times New Roman"/>
          <w:sz w:val="24"/>
          <w:szCs w:val="24"/>
        </w:rPr>
        <w:t xml:space="preserve">.  (PAYDAYS insurance polls a little bit lower than the other price-shifting strategies likely because of concerns related to insurance costs for long drives.  Products available in the marketplace typically cap such costs, but </w:t>
      </w:r>
      <w:r w:rsidR="004F0CA6">
        <w:rPr>
          <w:rFonts w:ascii="Times New Roman" w:hAnsi="Times New Roman" w:cs="Times New Roman"/>
          <w:sz w:val="24"/>
          <w:szCs w:val="24"/>
        </w:rPr>
        <w:t>it is doubtful that many</w:t>
      </w:r>
      <w:r w:rsidR="00D84C64" w:rsidRPr="00C32F94">
        <w:rPr>
          <w:rFonts w:ascii="Times New Roman" w:hAnsi="Times New Roman" w:cs="Times New Roman"/>
          <w:sz w:val="24"/>
          <w:szCs w:val="24"/>
        </w:rPr>
        <w:t xml:space="preserve"> </w:t>
      </w:r>
      <w:r w:rsidR="004F0CA6">
        <w:rPr>
          <w:rFonts w:ascii="Times New Roman" w:hAnsi="Times New Roman" w:cs="Times New Roman"/>
          <w:sz w:val="24"/>
          <w:szCs w:val="24"/>
        </w:rPr>
        <w:t>who were polled</w:t>
      </w:r>
      <w:r w:rsidR="00D84C64" w:rsidRPr="00C32F94">
        <w:rPr>
          <w:rFonts w:ascii="Times New Roman" w:hAnsi="Times New Roman" w:cs="Times New Roman"/>
          <w:sz w:val="24"/>
          <w:szCs w:val="24"/>
        </w:rPr>
        <w:t xml:space="preserve"> knew that.)</w:t>
      </w:r>
    </w:p>
    <w:p w14:paraId="22D442A8" w14:textId="1B4DB30C" w:rsidR="00D36D51" w:rsidRPr="00C32F94" w:rsidRDefault="00766CDF" w:rsidP="00C32F94">
      <w:pPr>
        <w:rPr>
          <w:rFonts w:ascii="Times New Roman" w:hAnsi="Times New Roman" w:cs="Times New Roman"/>
          <w:color w:val="000000"/>
          <w:sz w:val="24"/>
          <w:szCs w:val="24"/>
        </w:rPr>
      </w:pPr>
      <w:r w:rsidRPr="00C32F94">
        <w:rPr>
          <w:rFonts w:ascii="Times New Roman" w:hAnsi="Times New Roman" w:cs="Times New Roman"/>
          <w:color w:val="000000"/>
          <w:sz w:val="24"/>
          <w:szCs w:val="24"/>
        </w:rPr>
        <w:t>Transportation price</w:t>
      </w:r>
      <w:r w:rsidR="006A4BDA">
        <w:rPr>
          <w:rFonts w:ascii="Times New Roman" w:hAnsi="Times New Roman" w:cs="Times New Roman"/>
          <w:color w:val="000000"/>
          <w:sz w:val="24"/>
          <w:szCs w:val="24"/>
        </w:rPr>
        <w:t xml:space="preserve"> </w:t>
      </w:r>
      <w:r w:rsidRPr="00C32F94">
        <w:rPr>
          <w:rFonts w:ascii="Times New Roman" w:hAnsi="Times New Roman" w:cs="Times New Roman"/>
          <w:color w:val="000000"/>
          <w:sz w:val="24"/>
          <w:szCs w:val="24"/>
        </w:rPr>
        <w:t xml:space="preserve">shifting has the potential to garner bipartisan </w:t>
      </w:r>
      <w:r w:rsidR="00354E79">
        <w:rPr>
          <w:rFonts w:ascii="Times New Roman" w:hAnsi="Times New Roman" w:cs="Times New Roman"/>
          <w:color w:val="000000"/>
          <w:sz w:val="24"/>
          <w:szCs w:val="24"/>
        </w:rPr>
        <w:t>acceptance</w:t>
      </w:r>
      <w:r w:rsidR="004F0CA6">
        <w:rPr>
          <w:rFonts w:ascii="Times New Roman" w:hAnsi="Times New Roman" w:cs="Times New Roman"/>
          <w:color w:val="000000"/>
          <w:sz w:val="24"/>
          <w:szCs w:val="24"/>
        </w:rPr>
        <w:t>, as there is</w:t>
      </w:r>
      <w:r w:rsidR="00B96A5A" w:rsidRPr="00C32F94">
        <w:rPr>
          <w:rFonts w:ascii="Times New Roman" w:hAnsi="Times New Roman" w:cs="Times New Roman"/>
          <w:color w:val="000000"/>
          <w:sz w:val="24"/>
          <w:szCs w:val="24"/>
        </w:rPr>
        <w:t xml:space="preserve"> a history of Republican and conservative support for </w:t>
      </w:r>
      <w:r w:rsidR="004F0CA6">
        <w:rPr>
          <w:rFonts w:ascii="Times New Roman" w:hAnsi="Times New Roman" w:cs="Times New Roman"/>
          <w:color w:val="000000"/>
          <w:sz w:val="24"/>
          <w:szCs w:val="24"/>
        </w:rPr>
        <w:t>it</w:t>
      </w:r>
      <w:r w:rsidR="00B96A5A" w:rsidRPr="00C32F94">
        <w:rPr>
          <w:rFonts w:ascii="Times New Roman" w:hAnsi="Times New Roman" w:cs="Times New Roman"/>
          <w:color w:val="000000"/>
          <w:sz w:val="24"/>
          <w:szCs w:val="24"/>
        </w:rPr>
        <w:t xml:space="preserve">.  </w:t>
      </w:r>
      <w:r w:rsidR="002F5615" w:rsidRPr="00C32F94">
        <w:rPr>
          <w:rFonts w:ascii="Times New Roman" w:hAnsi="Times New Roman" w:cs="Times New Roman"/>
          <w:color w:val="000000"/>
          <w:sz w:val="24"/>
          <w:szCs w:val="24"/>
        </w:rPr>
        <w:t>Federal tax credits for PAYDAYS insurance</w:t>
      </w:r>
      <w:r w:rsidR="00354E79">
        <w:rPr>
          <w:rFonts w:ascii="Times New Roman" w:hAnsi="Times New Roman" w:cs="Times New Roman"/>
          <w:color w:val="000000"/>
          <w:sz w:val="24"/>
          <w:szCs w:val="24"/>
        </w:rPr>
        <w:t>, for example, were</w:t>
      </w:r>
      <w:r w:rsidR="002F5615" w:rsidRPr="00C32F94">
        <w:rPr>
          <w:rFonts w:ascii="Times New Roman" w:hAnsi="Times New Roman" w:cs="Times New Roman"/>
          <w:color w:val="000000"/>
          <w:sz w:val="24"/>
          <w:szCs w:val="24"/>
        </w:rPr>
        <w:t xml:space="preserve"> written into a bill in 2007 by then Congressman Gerlach</w:t>
      </w:r>
      <w:r w:rsidR="00A554D6">
        <w:rPr>
          <w:rFonts w:ascii="Times New Roman" w:hAnsi="Times New Roman" w:cs="Times New Roman"/>
          <w:color w:val="000000"/>
          <w:sz w:val="24"/>
          <w:szCs w:val="24"/>
        </w:rPr>
        <w:t xml:space="preserve"> (R-PA)</w:t>
      </w:r>
      <w:r w:rsidR="002F5615" w:rsidRPr="00C32F94">
        <w:rPr>
          <w:rFonts w:ascii="Times New Roman" w:hAnsi="Times New Roman" w:cs="Times New Roman"/>
          <w:color w:val="000000"/>
          <w:sz w:val="24"/>
          <w:szCs w:val="24"/>
        </w:rPr>
        <w:t xml:space="preserve">.  Section 302 </w:t>
      </w:r>
      <w:r w:rsidR="005C64ED" w:rsidRPr="00C32F94">
        <w:rPr>
          <w:rFonts w:ascii="Times New Roman" w:hAnsi="Times New Roman" w:cs="Times New Roman"/>
          <w:color w:val="000000"/>
          <w:sz w:val="24"/>
          <w:szCs w:val="24"/>
        </w:rPr>
        <w:t xml:space="preserve">(Insurance Savings Incentive Program) </w:t>
      </w:r>
      <w:r w:rsidR="002F5615" w:rsidRPr="00C32F94">
        <w:rPr>
          <w:rFonts w:ascii="Times New Roman" w:hAnsi="Times New Roman" w:cs="Times New Roman"/>
          <w:color w:val="000000"/>
          <w:sz w:val="24"/>
          <w:szCs w:val="24"/>
        </w:rPr>
        <w:t xml:space="preserve">of H.R. 2296, the Future Fuels Act, from the 110th Congress contains the applicable language.  </w:t>
      </w:r>
      <w:r w:rsidR="005C64ED" w:rsidRPr="00C32F94">
        <w:rPr>
          <w:rFonts w:ascii="Times New Roman" w:hAnsi="Times New Roman" w:cs="Times New Roman"/>
          <w:color w:val="000000"/>
          <w:sz w:val="24"/>
          <w:szCs w:val="24"/>
        </w:rPr>
        <w:t>The libertarian Reason Foundation has in the past called for enactment of a Federal parking cash</w:t>
      </w:r>
      <w:r w:rsidR="00354E79">
        <w:rPr>
          <w:rFonts w:ascii="Times New Roman" w:hAnsi="Times New Roman" w:cs="Times New Roman"/>
          <w:color w:val="000000"/>
          <w:sz w:val="24"/>
          <w:szCs w:val="24"/>
        </w:rPr>
        <w:t>-</w:t>
      </w:r>
      <w:r w:rsidR="005C64ED" w:rsidRPr="00C32F94">
        <w:rPr>
          <w:rFonts w:ascii="Times New Roman" w:hAnsi="Times New Roman" w:cs="Times New Roman"/>
          <w:color w:val="000000"/>
          <w:sz w:val="24"/>
          <w:szCs w:val="24"/>
        </w:rPr>
        <w:t>out</w:t>
      </w:r>
      <w:r w:rsidR="00354E79">
        <w:rPr>
          <w:rFonts w:ascii="Times New Roman" w:hAnsi="Times New Roman" w:cs="Times New Roman"/>
          <w:color w:val="000000"/>
          <w:sz w:val="24"/>
          <w:szCs w:val="24"/>
        </w:rPr>
        <w:t xml:space="preserve"> law</w:t>
      </w:r>
      <w:r w:rsidR="005C64ED" w:rsidRPr="00C32F94">
        <w:rPr>
          <w:rFonts w:ascii="Times New Roman" w:hAnsi="Times New Roman" w:cs="Times New Roman"/>
          <w:color w:val="000000"/>
          <w:sz w:val="24"/>
          <w:szCs w:val="24"/>
        </w:rPr>
        <w:t xml:space="preserve">, at the time as a compromise to eliminate the then-existing Employee Commute Options program under the Clean Air Act (see:  </w:t>
      </w:r>
      <w:hyperlink r:id="rId11" w:history="1">
        <w:r w:rsidR="005C64ED" w:rsidRPr="00C32F94">
          <w:rPr>
            <w:rStyle w:val="Hyperlink"/>
            <w:rFonts w:ascii="Times New Roman" w:hAnsi="Times New Roman" w:cs="Times New Roman"/>
            <w:sz w:val="24"/>
            <w:szCs w:val="24"/>
          </w:rPr>
          <w:t>http://reason.org/files/48d0848927c01bf5f340968091de65e9.pdf</w:t>
        </w:r>
      </w:hyperlink>
      <w:r w:rsidR="005C64ED" w:rsidRPr="00C32F94">
        <w:rPr>
          <w:rFonts w:ascii="Times New Roman" w:hAnsi="Times New Roman" w:cs="Times New Roman"/>
          <w:color w:val="000000"/>
          <w:sz w:val="24"/>
          <w:szCs w:val="24"/>
        </w:rPr>
        <w:t>)</w:t>
      </w:r>
      <w:r w:rsidR="000D6F1F" w:rsidRPr="00C32F94">
        <w:rPr>
          <w:rFonts w:ascii="Times New Roman" w:hAnsi="Times New Roman" w:cs="Times New Roman"/>
          <w:color w:val="000000"/>
          <w:sz w:val="24"/>
          <w:szCs w:val="24"/>
        </w:rPr>
        <w:t xml:space="preserve">. </w:t>
      </w:r>
    </w:p>
    <w:p w14:paraId="59B56BEC" w14:textId="1347A0B0" w:rsidR="000D6F1F" w:rsidRPr="00C32F94" w:rsidRDefault="000D6F1F" w:rsidP="00C32F94">
      <w:pPr>
        <w:rPr>
          <w:rFonts w:ascii="Times New Roman" w:hAnsi="Times New Roman" w:cs="Times New Roman"/>
          <w:color w:val="000000"/>
          <w:sz w:val="24"/>
          <w:szCs w:val="24"/>
        </w:rPr>
      </w:pPr>
      <w:r w:rsidRPr="00C32F94">
        <w:rPr>
          <w:rFonts w:ascii="Times New Roman" w:hAnsi="Times New Roman" w:cs="Times New Roman"/>
          <w:color w:val="000000"/>
          <w:sz w:val="24"/>
          <w:szCs w:val="24"/>
        </w:rPr>
        <w:t xml:space="preserve">Regarding the </w:t>
      </w:r>
      <w:r w:rsidR="00E5753D">
        <w:rPr>
          <w:rFonts w:ascii="Times New Roman" w:hAnsi="Times New Roman" w:cs="Times New Roman"/>
          <w:color w:val="000000"/>
          <w:sz w:val="24"/>
          <w:szCs w:val="24"/>
        </w:rPr>
        <w:t xml:space="preserve">national </w:t>
      </w:r>
      <w:r w:rsidRPr="00C32F94">
        <w:rPr>
          <w:rFonts w:ascii="Times New Roman" w:hAnsi="Times New Roman" w:cs="Times New Roman"/>
          <w:color w:val="000000"/>
          <w:sz w:val="24"/>
          <w:szCs w:val="24"/>
        </w:rPr>
        <w:t xml:space="preserve">polling numbers </w:t>
      </w:r>
      <w:r w:rsidR="004F0CA6">
        <w:rPr>
          <w:rFonts w:ascii="Times New Roman" w:hAnsi="Times New Roman" w:cs="Times New Roman"/>
          <w:color w:val="000000"/>
          <w:sz w:val="24"/>
          <w:szCs w:val="24"/>
        </w:rPr>
        <w:t>cited</w:t>
      </w:r>
      <w:r w:rsidR="00BC2F66" w:rsidRPr="00C32F94">
        <w:rPr>
          <w:rFonts w:ascii="Times New Roman" w:hAnsi="Times New Roman" w:cs="Times New Roman"/>
          <w:color w:val="000000"/>
          <w:sz w:val="24"/>
          <w:szCs w:val="24"/>
        </w:rPr>
        <w:t xml:space="preserve"> </w:t>
      </w:r>
      <w:r w:rsidRPr="00C32F94">
        <w:rPr>
          <w:rFonts w:ascii="Times New Roman" w:hAnsi="Times New Roman" w:cs="Times New Roman"/>
          <w:color w:val="000000"/>
          <w:sz w:val="24"/>
          <w:szCs w:val="24"/>
        </w:rPr>
        <w:t xml:space="preserve">above, there is an even greater jump in support among Republicans </w:t>
      </w:r>
      <w:r w:rsidR="004F0CA6">
        <w:rPr>
          <w:rFonts w:ascii="Times New Roman" w:hAnsi="Times New Roman" w:cs="Times New Roman"/>
          <w:color w:val="000000"/>
          <w:sz w:val="24"/>
          <w:szCs w:val="24"/>
        </w:rPr>
        <w:t xml:space="preserve">than among the general population </w:t>
      </w:r>
      <w:r w:rsidRPr="00C32F94">
        <w:rPr>
          <w:rFonts w:ascii="Times New Roman" w:hAnsi="Times New Roman" w:cs="Times New Roman"/>
          <w:color w:val="000000"/>
          <w:sz w:val="24"/>
          <w:szCs w:val="24"/>
        </w:rPr>
        <w:t xml:space="preserve">for the price-shifting strategies over a </w:t>
      </w:r>
      <w:r w:rsidR="004F0CA6">
        <w:rPr>
          <w:rFonts w:ascii="Times New Roman" w:hAnsi="Times New Roman" w:cs="Times New Roman"/>
          <w:color w:val="000000"/>
          <w:sz w:val="24"/>
          <w:szCs w:val="24"/>
        </w:rPr>
        <w:t>gasoline tax</w:t>
      </w:r>
      <w:r w:rsidRPr="00C32F94">
        <w:rPr>
          <w:rFonts w:ascii="Times New Roman" w:hAnsi="Times New Roman" w:cs="Times New Roman"/>
          <w:color w:val="000000"/>
          <w:sz w:val="24"/>
          <w:szCs w:val="24"/>
        </w:rPr>
        <w:t xml:space="preserve"> and rebate, polling at 36.9% </w:t>
      </w:r>
      <w:r w:rsidR="004F0CA6">
        <w:rPr>
          <w:rFonts w:ascii="Times New Roman" w:hAnsi="Times New Roman" w:cs="Times New Roman"/>
          <w:color w:val="000000"/>
          <w:sz w:val="24"/>
          <w:szCs w:val="24"/>
        </w:rPr>
        <w:t xml:space="preserve">Republican </w:t>
      </w:r>
      <w:r w:rsidR="00A554D6">
        <w:rPr>
          <w:rFonts w:ascii="Times New Roman" w:hAnsi="Times New Roman" w:cs="Times New Roman"/>
          <w:color w:val="000000"/>
          <w:sz w:val="24"/>
          <w:szCs w:val="24"/>
        </w:rPr>
        <w:t xml:space="preserve">support </w:t>
      </w:r>
      <w:r w:rsidRPr="00C32F94">
        <w:rPr>
          <w:rFonts w:ascii="Times New Roman" w:hAnsi="Times New Roman" w:cs="Times New Roman"/>
          <w:color w:val="000000"/>
          <w:sz w:val="24"/>
          <w:szCs w:val="24"/>
        </w:rPr>
        <w:t>for PAYDAYS insurance, 42.9% for parking cash out, and 42.9%</w:t>
      </w:r>
      <w:r w:rsidR="00BC2F66" w:rsidRPr="00C32F94">
        <w:rPr>
          <w:rFonts w:ascii="Times New Roman" w:hAnsi="Times New Roman" w:cs="Times New Roman"/>
          <w:color w:val="000000"/>
          <w:sz w:val="24"/>
          <w:szCs w:val="24"/>
        </w:rPr>
        <w:t xml:space="preserve"> for shifting from vehicle sales taxes to mileage fees</w:t>
      </w:r>
      <w:r w:rsidRPr="00C32F94">
        <w:rPr>
          <w:rFonts w:ascii="Times New Roman" w:hAnsi="Times New Roman" w:cs="Times New Roman"/>
          <w:color w:val="000000"/>
          <w:sz w:val="24"/>
          <w:szCs w:val="24"/>
        </w:rPr>
        <w:t xml:space="preserve"> (versus 29.5% </w:t>
      </w:r>
      <w:r w:rsidR="004F0CA6">
        <w:rPr>
          <w:rFonts w:ascii="Times New Roman" w:hAnsi="Times New Roman" w:cs="Times New Roman"/>
          <w:color w:val="000000"/>
          <w:sz w:val="24"/>
          <w:szCs w:val="24"/>
        </w:rPr>
        <w:t xml:space="preserve">support among Republicans </w:t>
      </w:r>
      <w:r w:rsidRPr="00C32F94">
        <w:rPr>
          <w:rFonts w:ascii="Times New Roman" w:hAnsi="Times New Roman" w:cs="Times New Roman"/>
          <w:color w:val="000000"/>
          <w:sz w:val="24"/>
          <w:szCs w:val="24"/>
        </w:rPr>
        <w:t xml:space="preserve">for the </w:t>
      </w:r>
      <w:r w:rsidR="004F0CA6">
        <w:rPr>
          <w:rFonts w:ascii="Times New Roman" w:hAnsi="Times New Roman" w:cs="Times New Roman"/>
          <w:color w:val="000000"/>
          <w:sz w:val="24"/>
          <w:szCs w:val="24"/>
        </w:rPr>
        <w:t>gas tax</w:t>
      </w:r>
      <w:r w:rsidRPr="00C32F94">
        <w:rPr>
          <w:rFonts w:ascii="Times New Roman" w:hAnsi="Times New Roman" w:cs="Times New Roman"/>
          <w:color w:val="000000"/>
          <w:sz w:val="24"/>
          <w:szCs w:val="24"/>
        </w:rPr>
        <w:t xml:space="preserve"> and rebate), with Republicans under the age of 40 supporting these </w:t>
      </w:r>
      <w:r w:rsidR="004F0CA6">
        <w:rPr>
          <w:rFonts w:ascii="Times New Roman" w:hAnsi="Times New Roman" w:cs="Times New Roman"/>
          <w:color w:val="000000"/>
          <w:sz w:val="24"/>
          <w:szCs w:val="24"/>
        </w:rPr>
        <w:t xml:space="preserve">price-shifting </w:t>
      </w:r>
      <w:r w:rsidRPr="00C32F94">
        <w:rPr>
          <w:rFonts w:ascii="Times New Roman" w:hAnsi="Times New Roman" w:cs="Times New Roman"/>
          <w:color w:val="000000"/>
          <w:sz w:val="24"/>
          <w:szCs w:val="24"/>
        </w:rPr>
        <w:t>strategies at 48.2%, 63.0% and 60.6%, respectively.</w:t>
      </w:r>
      <w:r w:rsidR="00E5753D">
        <w:rPr>
          <w:rFonts w:ascii="Times New Roman" w:hAnsi="Times New Roman" w:cs="Times New Roman"/>
          <w:color w:val="000000"/>
          <w:sz w:val="24"/>
          <w:szCs w:val="24"/>
        </w:rPr>
        <w:t xml:space="preserve">  The poll was not large enough to allow statistically significant results to be reported by political affiliation </w:t>
      </w:r>
      <w:r w:rsidR="0015495C">
        <w:rPr>
          <w:rFonts w:ascii="Times New Roman" w:hAnsi="Times New Roman" w:cs="Times New Roman"/>
          <w:color w:val="000000"/>
          <w:sz w:val="24"/>
          <w:szCs w:val="24"/>
        </w:rPr>
        <w:t>by region</w:t>
      </w:r>
      <w:r w:rsidR="00E5753D">
        <w:rPr>
          <w:rFonts w:ascii="Times New Roman" w:hAnsi="Times New Roman" w:cs="Times New Roman"/>
          <w:color w:val="000000"/>
          <w:sz w:val="24"/>
          <w:szCs w:val="24"/>
        </w:rPr>
        <w:t xml:space="preserve">. </w:t>
      </w:r>
    </w:p>
    <w:p w14:paraId="6BD0D87C" w14:textId="4CC4F002" w:rsidR="0095340B" w:rsidRDefault="009065E4" w:rsidP="000B3248">
      <w:pPr>
        <w:rPr>
          <w:rFonts w:ascii="Times New Roman" w:hAnsi="Times New Roman" w:cs="Times New Roman"/>
          <w:sz w:val="24"/>
          <w:szCs w:val="24"/>
        </w:rPr>
      </w:pPr>
      <w:r>
        <w:rPr>
          <w:rFonts w:ascii="Times New Roman" w:hAnsi="Times New Roman" w:cs="Times New Roman"/>
          <w:sz w:val="24"/>
          <w:szCs w:val="24"/>
        </w:rPr>
        <w:t>T</w:t>
      </w:r>
      <w:r w:rsidR="00C76490" w:rsidRPr="00C32F94">
        <w:rPr>
          <w:rFonts w:ascii="Times New Roman" w:hAnsi="Times New Roman" w:cs="Times New Roman"/>
          <w:sz w:val="24"/>
          <w:szCs w:val="24"/>
        </w:rPr>
        <w:t xml:space="preserve">he very significant carbon reduction benefits </w:t>
      </w:r>
      <w:r w:rsidR="00354E79">
        <w:rPr>
          <w:rFonts w:ascii="Times New Roman" w:hAnsi="Times New Roman" w:cs="Times New Roman"/>
          <w:sz w:val="24"/>
          <w:szCs w:val="24"/>
        </w:rPr>
        <w:t>from transportation price</w:t>
      </w:r>
      <w:r w:rsidR="006A4BDA">
        <w:rPr>
          <w:rFonts w:ascii="Times New Roman" w:hAnsi="Times New Roman" w:cs="Times New Roman"/>
          <w:sz w:val="24"/>
          <w:szCs w:val="24"/>
        </w:rPr>
        <w:t xml:space="preserve"> </w:t>
      </w:r>
      <w:r w:rsidR="00354E79">
        <w:rPr>
          <w:rFonts w:ascii="Times New Roman" w:hAnsi="Times New Roman" w:cs="Times New Roman"/>
          <w:sz w:val="24"/>
          <w:szCs w:val="24"/>
        </w:rPr>
        <w:t xml:space="preserve">shifting </w:t>
      </w:r>
      <w:r w:rsidR="00C76490" w:rsidRPr="00C32F94">
        <w:rPr>
          <w:rFonts w:ascii="Times New Roman" w:hAnsi="Times New Roman" w:cs="Times New Roman"/>
          <w:sz w:val="24"/>
          <w:szCs w:val="24"/>
        </w:rPr>
        <w:t xml:space="preserve">would be realized at no cost to the </w:t>
      </w:r>
      <w:r>
        <w:rPr>
          <w:rFonts w:ascii="Times New Roman" w:hAnsi="Times New Roman" w:cs="Times New Roman"/>
          <w:sz w:val="24"/>
          <w:szCs w:val="24"/>
        </w:rPr>
        <w:t>TCI states implementing them</w:t>
      </w:r>
      <w:r w:rsidR="009D55F4">
        <w:rPr>
          <w:rFonts w:ascii="Times New Roman" w:hAnsi="Times New Roman" w:cs="Times New Roman"/>
          <w:sz w:val="24"/>
          <w:szCs w:val="24"/>
        </w:rPr>
        <w:t xml:space="preserve"> or to individual motorists, which could partially explain their popularity relative to other transportation pricing strategies.  </w:t>
      </w:r>
      <w:r w:rsidR="009D55F4" w:rsidRPr="00C32F94">
        <w:rPr>
          <w:rFonts w:ascii="Times New Roman" w:hAnsi="Times New Roman" w:cs="Times New Roman"/>
          <w:sz w:val="24"/>
          <w:szCs w:val="24"/>
        </w:rPr>
        <w:t xml:space="preserve">Parking cash out is revenue positive to governments because a portion of employees who drive alone to work </w:t>
      </w:r>
      <w:r w:rsidR="009D55F4" w:rsidRPr="00C32F94">
        <w:rPr>
          <w:rFonts w:ascii="Times New Roman" w:hAnsi="Times New Roman" w:cs="Times New Roman"/>
          <w:sz w:val="24"/>
          <w:szCs w:val="24"/>
        </w:rPr>
        <w:lastRenderedPageBreak/>
        <w:t xml:space="preserve">and are provided a tax-exempt car-parking benefit from their employers would, if offered, choose to accept an alternative commute benefit that </w:t>
      </w:r>
      <w:r w:rsidR="009D55F4">
        <w:rPr>
          <w:rFonts w:ascii="Times New Roman" w:hAnsi="Times New Roman" w:cs="Times New Roman"/>
          <w:sz w:val="24"/>
          <w:szCs w:val="24"/>
        </w:rPr>
        <w:t>in many instances would</w:t>
      </w:r>
      <w:r w:rsidR="009D55F4" w:rsidRPr="00C32F94">
        <w:rPr>
          <w:rFonts w:ascii="Times New Roman" w:hAnsi="Times New Roman" w:cs="Times New Roman"/>
          <w:sz w:val="24"/>
          <w:szCs w:val="24"/>
        </w:rPr>
        <w:t xml:space="preserve"> include some taxable cash.  </w:t>
      </w:r>
      <w:r w:rsidR="00C76490" w:rsidRPr="00C32F94">
        <w:rPr>
          <w:rFonts w:ascii="Times New Roman" w:hAnsi="Times New Roman" w:cs="Times New Roman"/>
          <w:sz w:val="24"/>
          <w:szCs w:val="24"/>
        </w:rPr>
        <w:t>(</w:t>
      </w:r>
      <w:r w:rsidR="009D55F4">
        <w:rPr>
          <w:rFonts w:ascii="Times New Roman" w:hAnsi="Times New Roman" w:cs="Times New Roman"/>
          <w:sz w:val="24"/>
          <w:szCs w:val="24"/>
        </w:rPr>
        <w:t>D</w:t>
      </w:r>
      <w:r w:rsidR="00C76490" w:rsidRPr="00C32F94">
        <w:rPr>
          <w:rFonts w:ascii="Times New Roman" w:hAnsi="Times New Roman" w:cs="Times New Roman"/>
          <w:sz w:val="24"/>
          <w:szCs w:val="24"/>
        </w:rPr>
        <w:t xml:space="preserve">rivers </w:t>
      </w:r>
      <w:r w:rsidR="005E5A7D" w:rsidRPr="00C32F94">
        <w:rPr>
          <w:rFonts w:ascii="Times New Roman" w:hAnsi="Times New Roman" w:cs="Times New Roman"/>
          <w:sz w:val="24"/>
          <w:szCs w:val="24"/>
        </w:rPr>
        <w:t xml:space="preserve">typically </w:t>
      </w:r>
      <w:r w:rsidR="00C76490" w:rsidRPr="00C32F94">
        <w:rPr>
          <w:rFonts w:ascii="Times New Roman" w:hAnsi="Times New Roman" w:cs="Times New Roman"/>
          <w:sz w:val="24"/>
          <w:szCs w:val="24"/>
        </w:rPr>
        <w:t>save money</w:t>
      </w:r>
      <w:r w:rsidR="009D55F4">
        <w:rPr>
          <w:rFonts w:ascii="Times New Roman" w:hAnsi="Times New Roman" w:cs="Times New Roman"/>
          <w:sz w:val="24"/>
          <w:szCs w:val="24"/>
        </w:rPr>
        <w:t xml:space="preserve"> from transportation re-pricing.  For example, Brookings Institution </w:t>
      </w:r>
      <w:r w:rsidR="00561CD4">
        <w:rPr>
          <w:rFonts w:ascii="Times New Roman" w:hAnsi="Times New Roman" w:cs="Times New Roman"/>
          <w:sz w:val="24"/>
          <w:szCs w:val="24"/>
        </w:rPr>
        <w:t xml:space="preserve">research </w:t>
      </w:r>
      <w:r w:rsidR="0084440D" w:rsidRPr="0084440D">
        <w:rPr>
          <w:rFonts w:ascii="Times New Roman" w:hAnsi="Times New Roman" w:cs="Times New Roman"/>
          <w:sz w:val="24"/>
          <w:szCs w:val="24"/>
        </w:rPr>
        <w:t xml:space="preserve">projected that 63.5% of households with insured vehicles (63.7% of urban households, 62.9% of rural households, and approaching 80% for the poorest of households) would save an average of 28% on their total premiums, or about $496 annually for households that do save </w:t>
      </w:r>
      <w:r w:rsidR="0084440D">
        <w:rPr>
          <w:rFonts w:ascii="Times New Roman" w:hAnsi="Times New Roman" w:cs="Times New Roman"/>
          <w:sz w:val="24"/>
          <w:szCs w:val="24"/>
        </w:rPr>
        <w:t>with</w:t>
      </w:r>
      <w:r w:rsidR="0084440D" w:rsidRPr="0084440D">
        <w:rPr>
          <w:rFonts w:ascii="Times New Roman" w:hAnsi="Times New Roman" w:cs="Times New Roman"/>
          <w:sz w:val="24"/>
          <w:szCs w:val="24"/>
        </w:rPr>
        <w:t xml:space="preserve"> fully variable PAYDAYS premiums (Bordoff and Noel, 2008).  </w:t>
      </w:r>
    </w:p>
    <w:p w14:paraId="54DBD45B" w14:textId="73BD5BA7" w:rsidR="00C76490" w:rsidRDefault="0095340B" w:rsidP="0095340B">
      <w:pPr>
        <w:rPr>
          <w:rFonts w:ascii="Times New Roman" w:hAnsi="Times New Roman" w:cs="Times New Roman"/>
          <w:sz w:val="24"/>
          <w:szCs w:val="24"/>
        </w:rPr>
      </w:pPr>
      <w:r>
        <w:rPr>
          <w:rFonts w:ascii="Times New Roman" w:hAnsi="Times New Roman" w:cs="Times New Roman"/>
          <w:sz w:val="24"/>
          <w:szCs w:val="24"/>
        </w:rPr>
        <w:t xml:space="preserve">Why “savings-led” transportation re-pricing strategies </w:t>
      </w:r>
      <w:r w:rsidR="00C76490" w:rsidRPr="0084440D">
        <w:rPr>
          <w:rFonts w:ascii="Times New Roman" w:hAnsi="Times New Roman" w:cs="Times New Roman"/>
          <w:sz w:val="24"/>
          <w:szCs w:val="24"/>
        </w:rPr>
        <w:t xml:space="preserve">are more popular than carbon pricing in any form, including when </w:t>
      </w:r>
      <w:r w:rsidR="00F57A19" w:rsidRPr="0084440D">
        <w:rPr>
          <w:rFonts w:ascii="Times New Roman" w:hAnsi="Times New Roman" w:cs="Times New Roman"/>
          <w:sz w:val="24"/>
          <w:szCs w:val="24"/>
        </w:rPr>
        <w:t>gas tax increases are</w:t>
      </w:r>
      <w:r w:rsidR="00C76490" w:rsidRPr="0084440D">
        <w:rPr>
          <w:rFonts w:ascii="Times New Roman" w:hAnsi="Times New Roman" w:cs="Times New Roman"/>
          <w:sz w:val="24"/>
          <w:szCs w:val="24"/>
        </w:rPr>
        <w:t xml:space="preserve"> coupled with an income tax rebate</w:t>
      </w:r>
      <w:r>
        <w:rPr>
          <w:rFonts w:ascii="Times New Roman" w:hAnsi="Times New Roman" w:cs="Times New Roman"/>
          <w:sz w:val="24"/>
          <w:szCs w:val="24"/>
        </w:rPr>
        <w:t xml:space="preserve"> (providing “after-the-fact” savings)</w:t>
      </w:r>
      <w:r w:rsidR="00E5753D">
        <w:rPr>
          <w:rFonts w:ascii="Times New Roman" w:hAnsi="Times New Roman" w:cs="Times New Roman"/>
          <w:sz w:val="24"/>
          <w:szCs w:val="24"/>
        </w:rPr>
        <w:t>,</w:t>
      </w:r>
      <w:r>
        <w:rPr>
          <w:rFonts w:ascii="Times New Roman" w:hAnsi="Times New Roman" w:cs="Times New Roman"/>
          <w:sz w:val="24"/>
          <w:szCs w:val="24"/>
        </w:rPr>
        <w:t xml:space="preserve"> has not been well explored</w:t>
      </w:r>
      <w:r w:rsidR="00C76490" w:rsidRPr="0084440D">
        <w:rPr>
          <w:rFonts w:ascii="Times New Roman" w:hAnsi="Times New Roman" w:cs="Times New Roman"/>
          <w:sz w:val="24"/>
          <w:szCs w:val="24"/>
        </w:rPr>
        <w:t>.</w:t>
      </w:r>
      <w:r>
        <w:rPr>
          <w:rFonts w:ascii="Times New Roman" w:hAnsi="Times New Roman" w:cs="Times New Roman"/>
          <w:sz w:val="24"/>
          <w:szCs w:val="24"/>
        </w:rPr>
        <w:t xml:space="preserve">  A possible explanation is that people believe that they</w:t>
      </w:r>
      <w:r w:rsidR="00E5753D">
        <w:rPr>
          <w:rFonts w:ascii="Times New Roman" w:hAnsi="Times New Roman" w:cs="Times New Roman"/>
          <w:sz w:val="24"/>
          <w:szCs w:val="24"/>
        </w:rPr>
        <w:t xml:space="preserve"> wi</w:t>
      </w:r>
      <w:r>
        <w:rPr>
          <w:rFonts w:ascii="Times New Roman" w:hAnsi="Times New Roman" w:cs="Times New Roman"/>
          <w:sz w:val="24"/>
          <w:szCs w:val="24"/>
        </w:rPr>
        <w:t xml:space="preserve">ll see actual savings with transportation price-shifting while perhaps they will not with </w:t>
      </w:r>
      <w:r w:rsidR="00E5753D">
        <w:rPr>
          <w:rFonts w:ascii="Times New Roman" w:hAnsi="Times New Roman" w:cs="Times New Roman"/>
          <w:sz w:val="24"/>
          <w:szCs w:val="24"/>
        </w:rPr>
        <w:t xml:space="preserve">a </w:t>
      </w:r>
      <w:r w:rsidR="00E54B07">
        <w:rPr>
          <w:rFonts w:ascii="Times New Roman" w:hAnsi="Times New Roman" w:cs="Times New Roman"/>
          <w:sz w:val="24"/>
          <w:szCs w:val="24"/>
        </w:rPr>
        <w:t>promised</w:t>
      </w:r>
      <w:r>
        <w:rPr>
          <w:rFonts w:ascii="Times New Roman" w:hAnsi="Times New Roman" w:cs="Times New Roman"/>
          <w:sz w:val="24"/>
          <w:szCs w:val="24"/>
        </w:rPr>
        <w:t xml:space="preserve"> tax rebate.  Regardless of the reason(s), transportation re-pricing offers </w:t>
      </w:r>
      <w:r w:rsidR="00494F0F">
        <w:rPr>
          <w:rFonts w:ascii="Times New Roman" w:hAnsi="Times New Roman" w:cs="Times New Roman"/>
          <w:sz w:val="24"/>
          <w:szCs w:val="24"/>
        </w:rPr>
        <w:t>greater carbon reductions with higher public support than other pricing measures.</w:t>
      </w:r>
    </w:p>
    <w:p w14:paraId="70AD0D98" w14:textId="49D72756" w:rsidR="003A2E5D" w:rsidRPr="00613A16" w:rsidRDefault="003A2E5D" w:rsidP="003A2E5D">
      <w:pPr>
        <w:rPr>
          <w:rFonts w:ascii="Times New Roman" w:hAnsi="Times New Roman" w:cs="Times New Roman"/>
          <w:sz w:val="24"/>
          <w:szCs w:val="24"/>
        </w:rPr>
      </w:pPr>
      <w:r>
        <w:rPr>
          <w:rFonts w:ascii="Times New Roman" w:hAnsi="Times New Roman" w:cs="Times New Roman"/>
          <w:sz w:val="24"/>
          <w:szCs w:val="24"/>
        </w:rPr>
        <w:t xml:space="preserve">Another advantage of price shifting focused on reducing </w:t>
      </w:r>
      <w:r w:rsidR="00180831">
        <w:rPr>
          <w:rFonts w:ascii="Times New Roman" w:hAnsi="Times New Roman" w:cs="Times New Roman"/>
          <w:sz w:val="24"/>
          <w:szCs w:val="24"/>
        </w:rPr>
        <w:t>VMT</w:t>
      </w:r>
      <w:r>
        <w:rPr>
          <w:rFonts w:ascii="Times New Roman" w:hAnsi="Times New Roman" w:cs="Times New Roman"/>
          <w:sz w:val="24"/>
          <w:szCs w:val="24"/>
        </w:rPr>
        <w:t xml:space="preserve"> and related emissions over carbon pricing that is agnostic as</w:t>
      </w:r>
      <w:r w:rsidR="00667799">
        <w:rPr>
          <w:rFonts w:ascii="Times New Roman" w:hAnsi="Times New Roman" w:cs="Times New Roman"/>
          <w:sz w:val="24"/>
          <w:szCs w:val="24"/>
        </w:rPr>
        <w:t xml:space="preserve"> to</w:t>
      </w:r>
      <w:r>
        <w:rPr>
          <w:rFonts w:ascii="Times New Roman" w:hAnsi="Times New Roman" w:cs="Times New Roman"/>
          <w:sz w:val="24"/>
          <w:szCs w:val="24"/>
        </w:rPr>
        <w:t xml:space="preserve"> the reason</w:t>
      </w:r>
      <w:r w:rsidR="00667799">
        <w:rPr>
          <w:rFonts w:ascii="Times New Roman" w:hAnsi="Times New Roman" w:cs="Times New Roman"/>
          <w:sz w:val="24"/>
          <w:szCs w:val="24"/>
        </w:rPr>
        <w:t>s</w:t>
      </w:r>
      <w:r>
        <w:rPr>
          <w:rFonts w:ascii="Times New Roman" w:hAnsi="Times New Roman" w:cs="Times New Roman"/>
          <w:sz w:val="24"/>
          <w:szCs w:val="24"/>
        </w:rPr>
        <w:t xml:space="preserve"> for transportation emission reductions is that the former will lead to greater reductions in vehicle emissions other than carbon, fewer transport injuries and fatalities, and less congestion.  Federal vehicle emission standards for criteria pollutants are mileage-based and are unrelated to vehicle and fleet fuel economy.  Fewer miles driven due to pricing of VMT also means fewer injuries and fatalities (contributing to state-level “Vision Zero” goals), and congestion being curtailed (lessening infrastructure investment needs).</w:t>
      </w:r>
    </w:p>
    <w:p w14:paraId="1FC7FA0E" w14:textId="77777777" w:rsidR="00E91612" w:rsidRDefault="00E91612" w:rsidP="0095340B">
      <w:pPr>
        <w:rPr>
          <w:rFonts w:ascii="Times New Roman" w:hAnsi="Times New Roman" w:cs="Times New Roman"/>
          <w:sz w:val="24"/>
          <w:szCs w:val="24"/>
          <w:u w:val="single"/>
        </w:rPr>
      </w:pPr>
    </w:p>
    <w:p w14:paraId="1ABC74FB" w14:textId="3A386002" w:rsidR="00F469EF" w:rsidRDefault="00F469EF" w:rsidP="0095340B">
      <w:pPr>
        <w:rPr>
          <w:rFonts w:ascii="Times New Roman" w:hAnsi="Times New Roman" w:cs="Times New Roman"/>
          <w:sz w:val="24"/>
          <w:szCs w:val="24"/>
        </w:rPr>
      </w:pPr>
      <w:r>
        <w:rPr>
          <w:rFonts w:ascii="Times New Roman" w:hAnsi="Times New Roman" w:cs="Times New Roman"/>
          <w:sz w:val="24"/>
          <w:szCs w:val="24"/>
          <w:u w:val="single"/>
        </w:rPr>
        <w:t>Substantial Failure Risks of Relying on a Narrow MOU</w:t>
      </w:r>
    </w:p>
    <w:p w14:paraId="01FDE5D9" w14:textId="128BD5E1" w:rsidR="00E435E7" w:rsidRPr="00FD3A89" w:rsidRDefault="00E2471D" w:rsidP="00E435E7">
      <w:pPr>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Reference Case </w:t>
      </w:r>
      <w:r w:rsidR="00E435E7">
        <w:rPr>
          <w:rFonts w:ascii="Times New Roman" w:hAnsi="Times New Roman" w:cs="Times New Roman"/>
          <w:i/>
          <w:iCs/>
          <w:color w:val="000000"/>
          <w:sz w:val="24"/>
          <w:szCs w:val="24"/>
        </w:rPr>
        <w:t>Projections of Future Fleet Fuel Economy Could Fall Short</w:t>
      </w:r>
    </w:p>
    <w:p w14:paraId="04676E2F" w14:textId="02761958" w:rsidR="00E435E7" w:rsidRDefault="00E435E7" w:rsidP="00E435E7">
      <w:pPr>
        <w:rPr>
          <w:rFonts w:ascii="Times New Roman" w:hAnsi="Times New Roman" w:cs="Times New Roman"/>
          <w:sz w:val="24"/>
          <w:szCs w:val="24"/>
        </w:rPr>
      </w:pPr>
      <w:r>
        <w:rPr>
          <w:rFonts w:ascii="Times New Roman" w:hAnsi="Times New Roman" w:cs="Times New Roman"/>
          <w:sz w:val="24"/>
          <w:szCs w:val="24"/>
        </w:rPr>
        <w:t>TCI’s projections of benefits start with expectations of trends absent TCI action</w:t>
      </w:r>
      <w:r w:rsidR="00E2471D">
        <w:rPr>
          <w:rFonts w:ascii="Times New Roman" w:hAnsi="Times New Roman" w:cs="Times New Roman"/>
          <w:sz w:val="24"/>
          <w:szCs w:val="24"/>
        </w:rPr>
        <w:t xml:space="preserve"> (its so-called Reference Case)</w:t>
      </w:r>
      <w:r>
        <w:rPr>
          <w:rFonts w:ascii="Times New Roman" w:hAnsi="Times New Roman" w:cs="Times New Roman"/>
          <w:sz w:val="24"/>
          <w:szCs w:val="24"/>
        </w:rPr>
        <w:t>.  While TCI projects a 19% reduction in transportation sector emissions</w:t>
      </w:r>
      <w:r w:rsidR="00E2471D">
        <w:rPr>
          <w:rFonts w:ascii="Times New Roman" w:hAnsi="Times New Roman" w:cs="Times New Roman"/>
          <w:sz w:val="24"/>
          <w:szCs w:val="24"/>
        </w:rPr>
        <w:t xml:space="preserve"> in its Reference Case</w:t>
      </w:r>
      <w:r>
        <w:rPr>
          <w:rFonts w:ascii="Times New Roman" w:hAnsi="Times New Roman" w:cs="Times New Roman"/>
          <w:sz w:val="24"/>
          <w:szCs w:val="24"/>
        </w:rPr>
        <w:t>, it correctly notes the uncertainty of such a projection.  Among the possible outcomes without TCI action would be reductions of less than one-third of this, or of only 6%.  A good part of the reason for the uncertainty is related to predicting future fleet fuel economy</w:t>
      </w:r>
      <w:r w:rsidR="004733B6">
        <w:rPr>
          <w:rFonts w:ascii="Times New Roman" w:hAnsi="Times New Roman" w:cs="Times New Roman"/>
          <w:sz w:val="24"/>
          <w:szCs w:val="24"/>
        </w:rPr>
        <w:t xml:space="preserve"> (plus predicting</w:t>
      </w:r>
      <w:r w:rsidR="00181254">
        <w:rPr>
          <w:rFonts w:ascii="Times New Roman" w:hAnsi="Times New Roman" w:cs="Times New Roman"/>
          <w:sz w:val="24"/>
          <w:szCs w:val="24"/>
        </w:rPr>
        <w:t xml:space="preserve"> VMT</w:t>
      </w:r>
      <w:r w:rsidR="004733B6">
        <w:rPr>
          <w:rFonts w:ascii="Times New Roman" w:hAnsi="Times New Roman" w:cs="Times New Roman"/>
          <w:sz w:val="24"/>
          <w:szCs w:val="24"/>
        </w:rPr>
        <w:t>)</w:t>
      </w:r>
      <w:r>
        <w:rPr>
          <w:rFonts w:ascii="Times New Roman" w:hAnsi="Times New Roman" w:cs="Times New Roman"/>
          <w:sz w:val="24"/>
          <w:szCs w:val="24"/>
        </w:rPr>
        <w:t>.  The Trump Administration has proposed rules to roll back Obama era fuel economy standards that have not yet gone into effect.  Newspaper and other accounts of the Trump Administration’s activities to bring about such a roll-back have uncovered large gaps in the draft of the required Regulatory Impact Analysis, with preliminary findings failing to justify the proposal (i.e., costs are shown to exceed benefits)</w:t>
      </w:r>
      <w:r w:rsidR="004733B6">
        <w:rPr>
          <w:rFonts w:ascii="Times New Roman" w:hAnsi="Times New Roman" w:cs="Times New Roman"/>
          <w:sz w:val="24"/>
          <w:szCs w:val="24"/>
        </w:rPr>
        <w:t xml:space="preserve">, and thus making it vulnerable to court challenge </w:t>
      </w:r>
      <w:r w:rsidR="00E5753D">
        <w:rPr>
          <w:rFonts w:ascii="Times New Roman" w:hAnsi="Times New Roman" w:cs="Times New Roman"/>
          <w:sz w:val="24"/>
          <w:szCs w:val="24"/>
        </w:rPr>
        <w:t xml:space="preserve">as </w:t>
      </w:r>
      <w:r w:rsidR="004733B6">
        <w:rPr>
          <w:rFonts w:ascii="Times New Roman" w:hAnsi="Times New Roman" w:cs="Times New Roman"/>
          <w:sz w:val="24"/>
          <w:szCs w:val="24"/>
        </w:rPr>
        <w:t>to its rationality</w:t>
      </w:r>
      <w:r>
        <w:rPr>
          <w:rFonts w:ascii="Times New Roman" w:hAnsi="Times New Roman" w:cs="Times New Roman"/>
          <w:sz w:val="24"/>
          <w:szCs w:val="24"/>
        </w:rPr>
        <w:t xml:space="preserve">.  Perhaps more significant than the proposed roll-back (with its uncertain fate) is the Trump Administration’s </w:t>
      </w:r>
      <w:r w:rsidR="0094386B">
        <w:rPr>
          <w:rFonts w:ascii="Times New Roman" w:hAnsi="Times New Roman" w:cs="Times New Roman"/>
          <w:sz w:val="24"/>
          <w:szCs w:val="24"/>
        </w:rPr>
        <w:t xml:space="preserve">July 26, 2019 </w:t>
      </w:r>
      <w:r>
        <w:rPr>
          <w:rFonts w:ascii="Times New Roman" w:hAnsi="Times New Roman" w:cs="Times New Roman"/>
          <w:sz w:val="24"/>
          <w:szCs w:val="24"/>
        </w:rPr>
        <w:t>final rulemaking by the National Highway Traffic Safety Administration (NHTSA) to significantly reduce fuel economy non-compliance fines</w:t>
      </w:r>
      <w:r w:rsidR="002932D1">
        <w:rPr>
          <w:rFonts w:ascii="Times New Roman" w:hAnsi="Times New Roman" w:cs="Times New Roman"/>
          <w:sz w:val="24"/>
          <w:szCs w:val="24"/>
        </w:rPr>
        <w:t xml:space="preserve"> (from $14 to $5.50 per tenth of a mile per gallon for model year 2019 and beyond)</w:t>
      </w:r>
      <w:r>
        <w:rPr>
          <w:rFonts w:ascii="Times New Roman" w:hAnsi="Times New Roman" w:cs="Times New Roman"/>
          <w:sz w:val="24"/>
          <w:szCs w:val="24"/>
        </w:rPr>
        <w:t>.  Lower penalties invariably lead to l</w:t>
      </w:r>
      <w:r w:rsidR="00E5753D">
        <w:rPr>
          <w:rFonts w:ascii="Times New Roman" w:hAnsi="Times New Roman" w:cs="Times New Roman"/>
          <w:sz w:val="24"/>
          <w:szCs w:val="24"/>
        </w:rPr>
        <w:t>ess</w:t>
      </w:r>
      <w:r>
        <w:rPr>
          <w:rFonts w:ascii="Times New Roman" w:hAnsi="Times New Roman" w:cs="Times New Roman"/>
          <w:sz w:val="24"/>
          <w:szCs w:val="24"/>
        </w:rPr>
        <w:t xml:space="preserve"> compliance.</w:t>
      </w:r>
    </w:p>
    <w:p w14:paraId="085B5BE5" w14:textId="1E9EE379" w:rsidR="00E435E7" w:rsidRDefault="00E435E7" w:rsidP="0095340B">
      <w:pPr>
        <w:rPr>
          <w:rFonts w:ascii="Times New Roman" w:hAnsi="Times New Roman" w:cs="Times New Roman"/>
          <w:sz w:val="24"/>
          <w:szCs w:val="24"/>
        </w:rPr>
      </w:pPr>
      <w:r>
        <w:rPr>
          <w:rFonts w:ascii="Times New Roman" w:hAnsi="Times New Roman" w:cs="Times New Roman"/>
          <w:i/>
          <w:iCs/>
          <w:sz w:val="24"/>
          <w:szCs w:val="24"/>
        </w:rPr>
        <w:lastRenderedPageBreak/>
        <w:t xml:space="preserve">Pressure to Include Price Caps, Coupled with Higher than </w:t>
      </w:r>
      <w:r w:rsidR="00E2471D">
        <w:rPr>
          <w:rFonts w:ascii="Times New Roman" w:hAnsi="Times New Roman" w:cs="Times New Roman"/>
          <w:i/>
          <w:iCs/>
          <w:sz w:val="24"/>
          <w:szCs w:val="24"/>
        </w:rPr>
        <w:t xml:space="preserve">Reference Case </w:t>
      </w:r>
      <w:r>
        <w:rPr>
          <w:rFonts w:ascii="Times New Roman" w:hAnsi="Times New Roman" w:cs="Times New Roman"/>
          <w:i/>
          <w:iCs/>
          <w:sz w:val="24"/>
          <w:szCs w:val="24"/>
        </w:rPr>
        <w:t>Projected Emissions, Could Lead to Goal Achievement Failure</w:t>
      </w:r>
    </w:p>
    <w:p w14:paraId="66930C8F" w14:textId="364CD777" w:rsidR="007704D0" w:rsidRDefault="00E435E7" w:rsidP="0095340B">
      <w:pPr>
        <w:rPr>
          <w:rFonts w:ascii="Times New Roman" w:hAnsi="Times New Roman" w:cs="Times New Roman"/>
          <w:sz w:val="24"/>
          <w:szCs w:val="24"/>
        </w:rPr>
      </w:pPr>
      <w:r>
        <w:rPr>
          <w:rFonts w:ascii="Times New Roman" w:hAnsi="Times New Roman" w:cs="Times New Roman"/>
          <w:sz w:val="24"/>
          <w:szCs w:val="24"/>
        </w:rPr>
        <w:t xml:space="preserve">Opponents of cap-and-trade are likely to argue that resulting permit prices will be very high, evidence notwithstanding. Proponents, then, may be compelled to accept a price ceiling to show confidence in their more modest projections.  This will be fine if emissions </w:t>
      </w:r>
      <w:r w:rsidR="004733B6">
        <w:rPr>
          <w:rFonts w:ascii="Times New Roman" w:hAnsi="Times New Roman" w:cs="Times New Roman"/>
          <w:sz w:val="24"/>
          <w:szCs w:val="24"/>
        </w:rPr>
        <w:t>are heading toward</w:t>
      </w:r>
      <w:r>
        <w:rPr>
          <w:rFonts w:ascii="Times New Roman" w:hAnsi="Times New Roman" w:cs="Times New Roman"/>
          <w:sz w:val="24"/>
          <w:szCs w:val="24"/>
        </w:rPr>
        <w:t xml:space="preserve"> what proponents project.  If they are much higher, though, </w:t>
      </w:r>
      <w:r w:rsidR="004733B6">
        <w:rPr>
          <w:rFonts w:ascii="Times New Roman" w:hAnsi="Times New Roman" w:cs="Times New Roman"/>
          <w:sz w:val="24"/>
          <w:szCs w:val="24"/>
        </w:rPr>
        <w:t xml:space="preserve">whether because of higher than expected VMT, lower fuel economy, or a combination of the two (likely caused by lower than </w:t>
      </w:r>
      <w:r w:rsidR="00E2471D">
        <w:rPr>
          <w:rFonts w:ascii="Times New Roman" w:hAnsi="Times New Roman" w:cs="Times New Roman"/>
          <w:sz w:val="24"/>
          <w:szCs w:val="24"/>
        </w:rPr>
        <w:t xml:space="preserve">Reference Case </w:t>
      </w:r>
      <w:r w:rsidR="004733B6">
        <w:rPr>
          <w:rFonts w:ascii="Times New Roman" w:hAnsi="Times New Roman" w:cs="Times New Roman"/>
          <w:sz w:val="24"/>
          <w:szCs w:val="24"/>
        </w:rPr>
        <w:t xml:space="preserve">projected fuel costs) </w:t>
      </w:r>
      <w:r w:rsidR="00065739">
        <w:rPr>
          <w:rFonts w:ascii="Times New Roman" w:hAnsi="Times New Roman" w:cs="Times New Roman"/>
          <w:sz w:val="24"/>
          <w:szCs w:val="24"/>
        </w:rPr>
        <w:t xml:space="preserve">and the price cap kicks in, more permits will have to be released to accommodate the demand at the lower capped price (otherwise a secondary market would emerge, thereby </w:t>
      </w:r>
      <w:r w:rsidR="00E91612">
        <w:rPr>
          <w:rFonts w:ascii="Times New Roman" w:hAnsi="Times New Roman" w:cs="Times New Roman"/>
          <w:sz w:val="24"/>
          <w:szCs w:val="24"/>
        </w:rPr>
        <w:t>effectively</w:t>
      </w:r>
      <w:r w:rsidR="00065739">
        <w:rPr>
          <w:rFonts w:ascii="Times New Roman" w:hAnsi="Times New Roman" w:cs="Times New Roman"/>
          <w:sz w:val="24"/>
          <w:szCs w:val="24"/>
        </w:rPr>
        <w:t xml:space="preserve"> blowing the price cap) and emission goals will not be met.  If the transportation re-pricing strategies were deployed</w:t>
      </w:r>
      <w:r w:rsidR="00BA319D">
        <w:rPr>
          <w:rFonts w:ascii="Times New Roman" w:hAnsi="Times New Roman" w:cs="Times New Roman"/>
          <w:sz w:val="24"/>
          <w:szCs w:val="24"/>
        </w:rPr>
        <w:t xml:space="preserve">, the </w:t>
      </w:r>
      <w:r w:rsidR="008E377E">
        <w:rPr>
          <w:rFonts w:ascii="Times New Roman" w:hAnsi="Times New Roman" w:cs="Times New Roman"/>
          <w:sz w:val="24"/>
          <w:szCs w:val="24"/>
        </w:rPr>
        <w:t>variable</w:t>
      </w:r>
      <w:r w:rsidR="00BA319D">
        <w:rPr>
          <w:rFonts w:ascii="Times New Roman" w:hAnsi="Times New Roman" w:cs="Times New Roman"/>
          <w:sz w:val="24"/>
          <w:szCs w:val="24"/>
        </w:rPr>
        <w:t xml:space="preserve"> price for driving and parking would be significantly higher than would be realized even if a very high emission permit cap were to be adopted.  </w:t>
      </w:r>
    </w:p>
    <w:p w14:paraId="2A01469B" w14:textId="7096C033" w:rsidR="00E435E7" w:rsidRPr="00E435E7" w:rsidRDefault="00BA319D" w:rsidP="0095340B">
      <w:pPr>
        <w:rPr>
          <w:rFonts w:ascii="Times New Roman" w:hAnsi="Times New Roman" w:cs="Times New Roman"/>
          <w:sz w:val="24"/>
          <w:szCs w:val="24"/>
        </w:rPr>
      </w:pPr>
      <w:r>
        <w:rPr>
          <w:rFonts w:ascii="Times New Roman" w:hAnsi="Times New Roman" w:cs="Times New Roman"/>
          <w:sz w:val="24"/>
          <w:szCs w:val="24"/>
        </w:rPr>
        <w:t>Politics are less likely to initially block or require a subsequent revisiting of transportation re-pricing strategies than a cap-and-trade price ceiling</w:t>
      </w:r>
      <w:r w:rsidR="007704D0">
        <w:rPr>
          <w:rFonts w:ascii="Times New Roman" w:hAnsi="Times New Roman" w:cs="Times New Roman"/>
          <w:sz w:val="24"/>
          <w:szCs w:val="24"/>
        </w:rPr>
        <w:t>.</w:t>
      </w:r>
      <w:r>
        <w:rPr>
          <w:rFonts w:ascii="Times New Roman" w:hAnsi="Times New Roman" w:cs="Times New Roman"/>
          <w:sz w:val="24"/>
          <w:szCs w:val="24"/>
        </w:rPr>
        <w:t xml:space="preserve"> </w:t>
      </w:r>
      <w:r w:rsidR="00373316">
        <w:rPr>
          <w:rFonts w:ascii="Times New Roman" w:hAnsi="Times New Roman" w:cs="Times New Roman"/>
          <w:sz w:val="24"/>
          <w:szCs w:val="24"/>
        </w:rPr>
        <w:t xml:space="preserve"> </w:t>
      </w:r>
      <w:r w:rsidR="007704D0">
        <w:rPr>
          <w:rFonts w:ascii="Times New Roman" w:hAnsi="Times New Roman" w:cs="Times New Roman"/>
          <w:sz w:val="24"/>
          <w:szCs w:val="24"/>
        </w:rPr>
        <w:t>Unlike with transportation re-pricing, the risk of cap-and-trade not meeting targets can be high</w:t>
      </w:r>
      <w:r w:rsidR="00B26FB4">
        <w:rPr>
          <w:rFonts w:ascii="Times New Roman" w:hAnsi="Times New Roman" w:cs="Times New Roman"/>
          <w:sz w:val="24"/>
          <w:szCs w:val="24"/>
        </w:rPr>
        <w:t xml:space="preserve"> </w:t>
      </w:r>
      <w:r w:rsidR="008E377E">
        <w:rPr>
          <w:rFonts w:ascii="Times New Roman" w:hAnsi="Times New Roman" w:cs="Times New Roman"/>
          <w:sz w:val="24"/>
          <w:szCs w:val="24"/>
        </w:rPr>
        <w:t xml:space="preserve">if </w:t>
      </w:r>
      <w:r w:rsidR="00B26FB4">
        <w:rPr>
          <w:rFonts w:ascii="Times New Roman" w:hAnsi="Times New Roman" w:cs="Times New Roman"/>
          <w:sz w:val="24"/>
          <w:szCs w:val="24"/>
        </w:rPr>
        <w:t xml:space="preserve">fuel prices are very low </w:t>
      </w:r>
      <w:r w:rsidR="00E2471D">
        <w:rPr>
          <w:rFonts w:ascii="Times New Roman" w:hAnsi="Times New Roman" w:cs="Times New Roman"/>
          <w:sz w:val="24"/>
          <w:szCs w:val="24"/>
        </w:rPr>
        <w:t xml:space="preserve">compared to the projected Reference Case </w:t>
      </w:r>
      <w:r w:rsidR="007704D0">
        <w:rPr>
          <w:rFonts w:ascii="Times New Roman" w:hAnsi="Times New Roman" w:cs="Times New Roman"/>
          <w:sz w:val="24"/>
          <w:szCs w:val="24"/>
        </w:rPr>
        <w:t xml:space="preserve">and there is an emission permit price cap </w:t>
      </w:r>
      <w:r w:rsidR="00B26FB4">
        <w:rPr>
          <w:rFonts w:ascii="Times New Roman" w:hAnsi="Times New Roman" w:cs="Times New Roman"/>
          <w:sz w:val="24"/>
          <w:szCs w:val="24"/>
        </w:rPr>
        <w:t>and/or</w:t>
      </w:r>
      <w:r>
        <w:rPr>
          <w:rFonts w:ascii="Times New Roman" w:hAnsi="Times New Roman" w:cs="Times New Roman"/>
          <w:sz w:val="24"/>
          <w:szCs w:val="24"/>
        </w:rPr>
        <w:t xml:space="preserve"> if there is a recession that </w:t>
      </w:r>
      <w:r w:rsidR="007704D0">
        <w:rPr>
          <w:rFonts w:ascii="Times New Roman" w:hAnsi="Times New Roman" w:cs="Times New Roman"/>
          <w:sz w:val="24"/>
          <w:szCs w:val="24"/>
        </w:rPr>
        <w:t xml:space="preserve">leads the public to become resistant to high permit prices, especially if it </w:t>
      </w:r>
      <w:r>
        <w:rPr>
          <w:rFonts w:ascii="Times New Roman" w:hAnsi="Times New Roman" w:cs="Times New Roman"/>
          <w:sz w:val="24"/>
          <w:szCs w:val="24"/>
        </w:rPr>
        <w:t xml:space="preserve">is coupled with a statewide vehicle fleet </w:t>
      </w:r>
      <w:r w:rsidR="007704D0">
        <w:rPr>
          <w:rFonts w:ascii="Times New Roman" w:hAnsi="Times New Roman" w:cs="Times New Roman"/>
          <w:sz w:val="24"/>
          <w:szCs w:val="24"/>
        </w:rPr>
        <w:t>saturated with</w:t>
      </w:r>
      <w:r>
        <w:rPr>
          <w:rFonts w:ascii="Times New Roman" w:hAnsi="Times New Roman" w:cs="Times New Roman"/>
          <w:sz w:val="24"/>
          <w:szCs w:val="24"/>
        </w:rPr>
        <w:t xml:space="preserve"> fuel inefficient sport utility vehicles</w:t>
      </w:r>
      <w:r w:rsidR="00324FD7">
        <w:rPr>
          <w:rFonts w:ascii="Times New Roman" w:hAnsi="Times New Roman" w:cs="Times New Roman"/>
          <w:sz w:val="24"/>
          <w:szCs w:val="24"/>
        </w:rPr>
        <w:t xml:space="preserve"> </w:t>
      </w:r>
      <w:r w:rsidR="007704D0">
        <w:rPr>
          <w:rFonts w:ascii="Times New Roman" w:hAnsi="Times New Roman" w:cs="Times New Roman"/>
          <w:sz w:val="24"/>
          <w:szCs w:val="24"/>
        </w:rPr>
        <w:t>(</w:t>
      </w:r>
      <w:r w:rsidR="00324FD7">
        <w:rPr>
          <w:rFonts w:ascii="Times New Roman" w:hAnsi="Times New Roman" w:cs="Times New Roman"/>
          <w:sz w:val="24"/>
          <w:szCs w:val="24"/>
        </w:rPr>
        <w:t xml:space="preserve">that </w:t>
      </w:r>
      <w:r w:rsidR="007704D0">
        <w:rPr>
          <w:rFonts w:ascii="Times New Roman" w:hAnsi="Times New Roman" w:cs="Times New Roman"/>
          <w:sz w:val="24"/>
          <w:szCs w:val="24"/>
        </w:rPr>
        <w:t>is</w:t>
      </w:r>
      <w:r w:rsidR="00324FD7">
        <w:rPr>
          <w:rFonts w:ascii="Times New Roman" w:hAnsi="Times New Roman" w:cs="Times New Roman"/>
          <w:sz w:val="24"/>
          <w:szCs w:val="24"/>
        </w:rPr>
        <w:t xml:space="preserve"> </w:t>
      </w:r>
      <w:r w:rsidR="00A35814">
        <w:rPr>
          <w:rFonts w:ascii="Times New Roman" w:hAnsi="Times New Roman" w:cs="Times New Roman"/>
          <w:sz w:val="24"/>
          <w:szCs w:val="24"/>
        </w:rPr>
        <w:t xml:space="preserve">encouraged by low fuel prices and/or </w:t>
      </w:r>
      <w:r w:rsidR="00324FD7">
        <w:rPr>
          <w:rFonts w:ascii="Times New Roman" w:hAnsi="Times New Roman" w:cs="Times New Roman"/>
          <w:sz w:val="24"/>
          <w:szCs w:val="24"/>
        </w:rPr>
        <w:t xml:space="preserve">the Trump Administration </w:t>
      </w:r>
      <w:r w:rsidR="00E91612">
        <w:rPr>
          <w:rFonts w:ascii="Times New Roman" w:hAnsi="Times New Roman" w:cs="Times New Roman"/>
          <w:sz w:val="24"/>
          <w:szCs w:val="24"/>
        </w:rPr>
        <w:t>effectively</w:t>
      </w:r>
      <w:r w:rsidR="00324FD7">
        <w:rPr>
          <w:rFonts w:ascii="Times New Roman" w:hAnsi="Times New Roman" w:cs="Times New Roman"/>
          <w:sz w:val="24"/>
          <w:szCs w:val="24"/>
        </w:rPr>
        <w:t xml:space="preserve"> rolling back fuel economy standards, either by issuing a rulemaking that withstands court challenges or manufacturers choosing to ignore stand</w:t>
      </w:r>
      <w:r w:rsidR="00CC0AF6">
        <w:rPr>
          <w:rFonts w:ascii="Times New Roman" w:hAnsi="Times New Roman" w:cs="Times New Roman"/>
          <w:sz w:val="24"/>
          <w:szCs w:val="24"/>
        </w:rPr>
        <w:t>ards</w:t>
      </w:r>
      <w:r w:rsidR="00324FD7">
        <w:rPr>
          <w:rFonts w:ascii="Times New Roman" w:hAnsi="Times New Roman" w:cs="Times New Roman"/>
          <w:sz w:val="24"/>
          <w:szCs w:val="24"/>
        </w:rPr>
        <w:t xml:space="preserve"> because of the reduced fines</w:t>
      </w:r>
      <w:r>
        <w:rPr>
          <w:rFonts w:ascii="Times New Roman" w:hAnsi="Times New Roman" w:cs="Times New Roman"/>
          <w:sz w:val="24"/>
          <w:szCs w:val="24"/>
        </w:rPr>
        <w:t>).</w:t>
      </w:r>
    </w:p>
    <w:p w14:paraId="24D9F454" w14:textId="22F0BBA5" w:rsidR="00F469EF" w:rsidRDefault="00F469EF" w:rsidP="0095340B">
      <w:pPr>
        <w:rPr>
          <w:rFonts w:ascii="Times New Roman" w:hAnsi="Times New Roman" w:cs="Times New Roman"/>
          <w:sz w:val="24"/>
          <w:szCs w:val="24"/>
        </w:rPr>
      </w:pPr>
      <w:r>
        <w:rPr>
          <w:rFonts w:ascii="Times New Roman" w:hAnsi="Times New Roman" w:cs="Times New Roman"/>
          <w:i/>
          <w:iCs/>
          <w:sz w:val="24"/>
          <w:szCs w:val="24"/>
        </w:rPr>
        <w:t>Low Fuel and/or Carbon Prices W</w:t>
      </w:r>
      <w:r w:rsidR="000A59CB">
        <w:rPr>
          <w:rFonts w:ascii="Times New Roman" w:hAnsi="Times New Roman" w:cs="Times New Roman"/>
          <w:i/>
          <w:iCs/>
          <w:sz w:val="24"/>
          <w:szCs w:val="24"/>
        </w:rPr>
        <w:t>ould</w:t>
      </w:r>
      <w:r>
        <w:rPr>
          <w:rFonts w:ascii="Times New Roman" w:hAnsi="Times New Roman" w:cs="Times New Roman"/>
          <w:i/>
          <w:iCs/>
          <w:sz w:val="24"/>
          <w:szCs w:val="24"/>
        </w:rPr>
        <w:t xml:space="preserve"> Mean Little Incentive for Behavior Change</w:t>
      </w:r>
    </w:p>
    <w:p w14:paraId="4211A0BD" w14:textId="52FD40FA" w:rsidR="000A59CB" w:rsidRDefault="00F469EF" w:rsidP="0095340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What separates out transportation pricing from other public policy measures is that it directly engages travelers in decisions that have a tremendous impact on meeting transportation carbon emission reduction goals.  Low or bundled prices, providing little or no financial benefit for behavior change, </w:t>
      </w:r>
      <w:r w:rsidR="00FD3A89">
        <w:rPr>
          <w:rFonts w:ascii="Times New Roman" w:hAnsi="Times New Roman" w:cs="Times New Roman"/>
          <w:color w:val="000000"/>
          <w:sz w:val="24"/>
          <w:szCs w:val="24"/>
        </w:rPr>
        <w:t xml:space="preserve">encourage consumer choices that </w:t>
      </w:r>
      <w:r>
        <w:rPr>
          <w:rFonts w:ascii="Times New Roman" w:hAnsi="Times New Roman" w:cs="Times New Roman"/>
          <w:color w:val="000000"/>
          <w:sz w:val="24"/>
          <w:szCs w:val="24"/>
        </w:rPr>
        <w:t>act at cross purposes with emission reduction goals.</w:t>
      </w:r>
      <w:r w:rsidR="00A76FC0">
        <w:rPr>
          <w:rFonts w:ascii="Times New Roman" w:hAnsi="Times New Roman" w:cs="Times New Roman"/>
          <w:color w:val="000000"/>
          <w:sz w:val="24"/>
          <w:szCs w:val="24"/>
        </w:rPr>
        <w:t xml:space="preserve">  </w:t>
      </w:r>
      <w:r w:rsidR="004733B6">
        <w:rPr>
          <w:rFonts w:ascii="Times New Roman" w:hAnsi="Times New Roman" w:cs="Times New Roman"/>
          <w:color w:val="000000"/>
          <w:sz w:val="24"/>
          <w:szCs w:val="24"/>
        </w:rPr>
        <w:t xml:space="preserve">One of the biggest impacts of low fuel prices is that they encourage households with more than one vehicle </w:t>
      </w:r>
      <w:r w:rsidR="00FD568D">
        <w:rPr>
          <w:rFonts w:ascii="Times New Roman" w:hAnsi="Times New Roman" w:cs="Times New Roman"/>
          <w:color w:val="000000"/>
          <w:sz w:val="24"/>
          <w:szCs w:val="24"/>
        </w:rPr>
        <w:t xml:space="preserve">(about </w:t>
      </w:r>
      <w:r w:rsidR="008E377E">
        <w:rPr>
          <w:rFonts w:ascii="Times New Roman" w:hAnsi="Times New Roman" w:cs="Times New Roman"/>
          <w:color w:val="000000"/>
          <w:sz w:val="24"/>
          <w:szCs w:val="24"/>
        </w:rPr>
        <w:t>58</w:t>
      </w:r>
      <w:r w:rsidR="00FD568D">
        <w:rPr>
          <w:rFonts w:ascii="Times New Roman" w:hAnsi="Times New Roman" w:cs="Times New Roman"/>
          <w:color w:val="000000"/>
          <w:sz w:val="24"/>
          <w:szCs w:val="24"/>
        </w:rPr>
        <w:t xml:space="preserve">% of U.S. households) </w:t>
      </w:r>
      <w:r w:rsidR="004733B6">
        <w:rPr>
          <w:rFonts w:ascii="Times New Roman" w:hAnsi="Times New Roman" w:cs="Times New Roman"/>
          <w:color w:val="000000"/>
          <w:sz w:val="24"/>
          <w:szCs w:val="24"/>
        </w:rPr>
        <w:t>to use the l</w:t>
      </w:r>
      <w:r w:rsidR="008E377E">
        <w:rPr>
          <w:rFonts w:ascii="Times New Roman" w:hAnsi="Times New Roman" w:cs="Times New Roman"/>
          <w:color w:val="000000"/>
          <w:sz w:val="24"/>
          <w:szCs w:val="24"/>
        </w:rPr>
        <w:t>east</w:t>
      </w:r>
      <w:r w:rsidR="004733B6">
        <w:rPr>
          <w:rFonts w:ascii="Times New Roman" w:hAnsi="Times New Roman" w:cs="Times New Roman"/>
          <w:color w:val="000000"/>
          <w:sz w:val="24"/>
          <w:szCs w:val="24"/>
        </w:rPr>
        <w:t xml:space="preserve"> fuel efficient one more</w:t>
      </w:r>
      <w:r w:rsidR="00FD568D">
        <w:rPr>
          <w:rFonts w:ascii="Times New Roman" w:hAnsi="Times New Roman" w:cs="Times New Roman"/>
          <w:color w:val="000000"/>
          <w:sz w:val="24"/>
          <w:szCs w:val="24"/>
        </w:rPr>
        <w:t xml:space="preserve">.  </w:t>
      </w:r>
      <w:r w:rsidR="00A76FC0">
        <w:rPr>
          <w:rFonts w:ascii="Times New Roman" w:hAnsi="Times New Roman" w:cs="Times New Roman"/>
          <w:color w:val="000000"/>
          <w:sz w:val="24"/>
          <w:szCs w:val="24"/>
        </w:rPr>
        <w:t>Maximizing variable driving costs (largely by reducing fixed and bundled car purchase, use, and storage costs)</w:t>
      </w:r>
      <w:r w:rsidR="00373316">
        <w:rPr>
          <w:rFonts w:ascii="Times New Roman" w:hAnsi="Times New Roman" w:cs="Times New Roman"/>
          <w:color w:val="000000"/>
          <w:sz w:val="24"/>
          <w:szCs w:val="24"/>
        </w:rPr>
        <w:t>, by contrast,</w:t>
      </w:r>
      <w:r w:rsidR="00A76FC0">
        <w:rPr>
          <w:rFonts w:ascii="Times New Roman" w:hAnsi="Times New Roman" w:cs="Times New Roman"/>
          <w:color w:val="000000"/>
          <w:sz w:val="24"/>
          <w:szCs w:val="24"/>
        </w:rPr>
        <w:t xml:space="preserve"> provides a substantial incentive to consumers to curtail their driving and related emissions.</w:t>
      </w:r>
    </w:p>
    <w:p w14:paraId="16E3F6EA" w14:textId="2509B39E" w:rsidR="000A59CB" w:rsidRDefault="000A59CB" w:rsidP="0095340B">
      <w:pPr>
        <w:rPr>
          <w:rFonts w:ascii="Times New Roman" w:hAnsi="Times New Roman" w:cs="Times New Roman"/>
          <w:color w:val="000000"/>
          <w:sz w:val="24"/>
          <w:szCs w:val="24"/>
        </w:rPr>
      </w:pPr>
      <w:r>
        <w:rPr>
          <w:rFonts w:ascii="Times New Roman" w:hAnsi="Times New Roman" w:cs="Times New Roman"/>
          <w:i/>
          <w:iCs/>
          <w:color w:val="000000"/>
          <w:sz w:val="24"/>
          <w:szCs w:val="24"/>
        </w:rPr>
        <w:t>Low Carbon Prices Would Mean Little Revenue for Supportive Transportation Investments</w:t>
      </w:r>
    </w:p>
    <w:p w14:paraId="0634D47E" w14:textId="77777777" w:rsidR="00180831" w:rsidRDefault="000A59CB" w:rsidP="00C32F9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While the proportion of </w:t>
      </w:r>
      <w:r w:rsidR="009614EB">
        <w:rPr>
          <w:rFonts w:ascii="Times New Roman" w:hAnsi="Times New Roman" w:cs="Times New Roman"/>
          <w:color w:val="000000"/>
          <w:sz w:val="24"/>
          <w:szCs w:val="24"/>
        </w:rPr>
        <w:t xml:space="preserve">projected </w:t>
      </w:r>
      <w:r>
        <w:rPr>
          <w:rFonts w:ascii="Times New Roman" w:hAnsi="Times New Roman" w:cs="Times New Roman"/>
          <w:color w:val="000000"/>
          <w:sz w:val="24"/>
          <w:szCs w:val="24"/>
        </w:rPr>
        <w:t xml:space="preserve">emission reductions </w:t>
      </w:r>
      <w:r w:rsidR="00E2471D">
        <w:rPr>
          <w:rFonts w:ascii="Times New Roman" w:hAnsi="Times New Roman" w:cs="Times New Roman"/>
          <w:color w:val="000000"/>
          <w:sz w:val="24"/>
          <w:szCs w:val="24"/>
        </w:rPr>
        <w:t xml:space="preserve">from the Reference Case </w:t>
      </w:r>
      <w:r>
        <w:rPr>
          <w:rFonts w:ascii="Times New Roman" w:hAnsi="Times New Roman" w:cs="Times New Roman"/>
          <w:color w:val="000000"/>
          <w:sz w:val="24"/>
          <w:szCs w:val="24"/>
        </w:rPr>
        <w:t>due to price-inspired consumer behavior change versus infrastructure investments</w:t>
      </w:r>
      <w:r w:rsidR="004F4429">
        <w:rPr>
          <w:rFonts w:ascii="Times New Roman" w:hAnsi="Times New Roman" w:cs="Times New Roman"/>
          <w:color w:val="000000"/>
          <w:sz w:val="24"/>
          <w:szCs w:val="24"/>
        </w:rPr>
        <w:t xml:space="preserve"> </w:t>
      </w:r>
      <w:r w:rsidR="00FD3A89">
        <w:rPr>
          <w:rFonts w:ascii="Times New Roman" w:hAnsi="Times New Roman" w:cs="Times New Roman"/>
          <w:color w:val="000000"/>
          <w:sz w:val="24"/>
          <w:szCs w:val="24"/>
        </w:rPr>
        <w:t xml:space="preserve">funded with cap-and-trade revenues </w:t>
      </w:r>
      <w:r w:rsidR="004F4429">
        <w:rPr>
          <w:rFonts w:ascii="Times New Roman" w:hAnsi="Times New Roman" w:cs="Times New Roman"/>
          <w:color w:val="000000"/>
          <w:sz w:val="24"/>
          <w:szCs w:val="24"/>
        </w:rPr>
        <w:t>was not readily made clear by TCI</w:t>
      </w:r>
      <w:r>
        <w:rPr>
          <w:rFonts w:ascii="Times New Roman" w:hAnsi="Times New Roman" w:cs="Times New Roman"/>
          <w:color w:val="000000"/>
          <w:sz w:val="24"/>
          <w:szCs w:val="24"/>
        </w:rPr>
        <w:t xml:space="preserve">, </w:t>
      </w:r>
      <w:r w:rsidR="004F4429">
        <w:rPr>
          <w:rFonts w:ascii="Times New Roman" w:hAnsi="Times New Roman" w:cs="Times New Roman"/>
          <w:color w:val="000000"/>
          <w:sz w:val="24"/>
          <w:szCs w:val="24"/>
        </w:rPr>
        <w:t xml:space="preserve">various articles have </w:t>
      </w:r>
      <w:r>
        <w:rPr>
          <w:rFonts w:ascii="Times New Roman" w:hAnsi="Times New Roman" w:cs="Times New Roman"/>
          <w:color w:val="000000"/>
          <w:sz w:val="24"/>
          <w:szCs w:val="24"/>
        </w:rPr>
        <w:t>s</w:t>
      </w:r>
      <w:r w:rsidR="004F4429">
        <w:rPr>
          <w:rFonts w:ascii="Times New Roman" w:hAnsi="Times New Roman" w:cs="Times New Roman"/>
          <w:color w:val="000000"/>
          <w:sz w:val="24"/>
          <w:szCs w:val="24"/>
        </w:rPr>
        <w:t>aid</w:t>
      </w:r>
      <w:r>
        <w:rPr>
          <w:rFonts w:ascii="Times New Roman" w:hAnsi="Times New Roman" w:cs="Times New Roman"/>
          <w:color w:val="000000"/>
          <w:sz w:val="24"/>
          <w:szCs w:val="24"/>
        </w:rPr>
        <w:t xml:space="preserve"> that the latter is </w:t>
      </w:r>
      <w:r w:rsidR="004F4429">
        <w:rPr>
          <w:rFonts w:ascii="Times New Roman" w:hAnsi="Times New Roman" w:cs="Times New Roman"/>
          <w:color w:val="000000"/>
          <w:sz w:val="24"/>
          <w:szCs w:val="24"/>
        </w:rPr>
        <w:t xml:space="preserve">especially </w:t>
      </w:r>
      <w:r>
        <w:rPr>
          <w:rFonts w:ascii="Times New Roman" w:hAnsi="Times New Roman" w:cs="Times New Roman"/>
          <w:color w:val="000000"/>
          <w:sz w:val="24"/>
          <w:szCs w:val="24"/>
        </w:rPr>
        <w:t xml:space="preserve">important, and likely more </w:t>
      </w:r>
      <w:r w:rsidR="004F4429">
        <w:rPr>
          <w:rFonts w:ascii="Times New Roman" w:hAnsi="Times New Roman" w:cs="Times New Roman"/>
          <w:color w:val="000000"/>
          <w:sz w:val="24"/>
          <w:szCs w:val="24"/>
        </w:rPr>
        <w:t>so</w:t>
      </w:r>
      <w:r>
        <w:rPr>
          <w:rFonts w:ascii="Times New Roman" w:hAnsi="Times New Roman" w:cs="Times New Roman"/>
          <w:color w:val="000000"/>
          <w:sz w:val="24"/>
          <w:szCs w:val="24"/>
        </w:rPr>
        <w:t xml:space="preserve"> than the former.</w:t>
      </w:r>
      <w:r w:rsidR="001877F8">
        <w:rPr>
          <w:rFonts w:ascii="Times New Roman" w:hAnsi="Times New Roman" w:cs="Times New Roman"/>
          <w:color w:val="000000"/>
          <w:sz w:val="24"/>
          <w:szCs w:val="24"/>
        </w:rPr>
        <w:t xml:space="preserve">  As such, if permit prices end up lower than projected, investments supported by revenues would also be lower by necessity.  A lot, then, is riding on permit prices being high enough to meet projections related to consumer response and revenue goals, but not so high that it will inspire legislative roll-backs.  This</w:t>
      </w:r>
      <w:r w:rsidR="000D27A0">
        <w:rPr>
          <w:rFonts w:ascii="Times New Roman" w:hAnsi="Times New Roman" w:cs="Times New Roman"/>
          <w:color w:val="000000"/>
          <w:sz w:val="24"/>
          <w:szCs w:val="24"/>
        </w:rPr>
        <w:t xml:space="preserve"> leaves</w:t>
      </w:r>
      <w:r w:rsidR="001877F8">
        <w:rPr>
          <w:rFonts w:ascii="Times New Roman" w:hAnsi="Times New Roman" w:cs="Times New Roman"/>
          <w:color w:val="000000"/>
          <w:sz w:val="24"/>
          <w:szCs w:val="24"/>
        </w:rPr>
        <w:t xml:space="preserve"> a thin </w:t>
      </w:r>
      <w:r w:rsidR="000D27A0">
        <w:rPr>
          <w:rFonts w:ascii="Times New Roman" w:hAnsi="Times New Roman" w:cs="Times New Roman"/>
          <w:color w:val="000000"/>
          <w:sz w:val="24"/>
          <w:szCs w:val="24"/>
        </w:rPr>
        <w:t xml:space="preserve">policy </w:t>
      </w:r>
      <w:r w:rsidR="001877F8">
        <w:rPr>
          <w:rFonts w:ascii="Times New Roman" w:hAnsi="Times New Roman" w:cs="Times New Roman"/>
          <w:color w:val="000000"/>
          <w:sz w:val="24"/>
          <w:szCs w:val="24"/>
        </w:rPr>
        <w:lastRenderedPageBreak/>
        <w:t xml:space="preserve">needle to thread warranting serious </w:t>
      </w:r>
      <w:r w:rsidR="000D27A0">
        <w:rPr>
          <w:rFonts w:ascii="Times New Roman" w:hAnsi="Times New Roman" w:cs="Times New Roman"/>
          <w:color w:val="000000"/>
          <w:sz w:val="24"/>
          <w:szCs w:val="24"/>
        </w:rPr>
        <w:t xml:space="preserve">upfront </w:t>
      </w:r>
      <w:r w:rsidR="001877F8">
        <w:rPr>
          <w:rFonts w:ascii="Times New Roman" w:hAnsi="Times New Roman" w:cs="Times New Roman"/>
          <w:color w:val="000000"/>
          <w:sz w:val="24"/>
          <w:szCs w:val="24"/>
        </w:rPr>
        <w:t xml:space="preserve">consideration of additions and alternatives </w:t>
      </w:r>
      <w:r w:rsidR="000D27A0">
        <w:rPr>
          <w:rFonts w:ascii="Times New Roman" w:hAnsi="Times New Roman" w:cs="Times New Roman"/>
          <w:color w:val="000000"/>
          <w:sz w:val="24"/>
          <w:szCs w:val="24"/>
        </w:rPr>
        <w:t>to cap-and-trade</w:t>
      </w:r>
      <w:r w:rsidR="00E2471D">
        <w:rPr>
          <w:rFonts w:ascii="Times New Roman" w:hAnsi="Times New Roman" w:cs="Times New Roman"/>
          <w:color w:val="000000"/>
          <w:sz w:val="24"/>
          <w:szCs w:val="24"/>
        </w:rPr>
        <w:t>, especially if TCI does as it should and chooses the most aggressive carbon reduction goal of 25%.</w:t>
      </w:r>
      <w:r w:rsidR="001877F8">
        <w:rPr>
          <w:rFonts w:ascii="Times New Roman" w:hAnsi="Times New Roman" w:cs="Times New Roman"/>
          <w:color w:val="000000"/>
          <w:sz w:val="24"/>
          <w:szCs w:val="24"/>
        </w:rPr>
        <w:t xml:space="preserve">  </w:t>
      </w:r>
      <w:r w:rsidR="001877F8" w:rsidRPr="00FD3A89" w:rsidDel="00E435E7">
        <w:rPr>
          <w:rFonts w:ascii="Times New Roman" w:hAnsi="Times New Roman" w:cs="Times New Roman"/>
          <w:color w:val="000000"/>
          <w:sz w:val="24"/>
          <w:szCs w:val="24"/>
        </w:rPr>
        <w:t xml:space="preserve"> </w:t>
      </w:r>
    </w:p>
    <w:p w14:paraId="41FAADFB" w14:textId="77777777" w:rsidR="00E91612" w:rsidRDefault="00E91612" w:rsidP="00C32F94">
      <w:pPr>
        <w:rPr>
          <w:rFonts w:ascii="Times New Roman" w:hAnsi="Times New Roman" w:cs="Times New Roman"/>
          <w:sz w:val="24"/>
          <w:szCs w:val="24"/>
          <w:u w:val="single"/>
        </w:rPr>
      </w:pPr>
    </w:p>
    <w:p w14:paraId="379C3870" w14:textId="55D0AFF2" w:rsidR="00FB19B1" w:rsidRPr="00A94BCC" w:rsidRDefault="00FB19B1" w:rsidP="00C32F94">
      <w:pPr>
        <w:rPr>
          <w:rFonts w:ascii="Times New Roman" w:hAnsi="Times New Roman" w:cs="Times New Roman"/>
          <w:sz w:val="24"/>
          <w:szCs w:val="24"/>
          <w:u w:val="single"/>
        </w:rPr>
      </w:pPr>
      <w:r w:rsidRPr="00A94BCC">
        <w:rPr>
          <w:rFonts w:ascii="Times New Roman" w:hAnsi="Times New Roman" w:cs="Times New Roman"/>
          <w:sz w:val="24"/>
          <w:szCs w:val="24"/>
          <w:u w:val="single"/>
        </w:rPr>
        <w:t>Ad</w:t>
      </w:r>
      <w:r w:rsidR="00A41A6C" w:rsidRPr="00A94BCC">
        <w:rPr>
          <w:rFonts w:ascii="Times New Roman" w:hAnsi="Times New Roman" w:cs="Times New Roman"/>
          <w:sz w:val="24"/>
          <w:szCs w:val="24"/>
          <w:u w:val="single"/>
        </w:rPr>
        <w:t>ditional</w:t>
      </w:r>
      <w:r w:rsidRPr="00A94BCC">
        <w:rPr>
          <w:rFonts w:ascii="Times New Roman" w:hAnsi="Times New Roman" w:cs="Times New Roman"/>
          <w:sz w:val="24"/>
          <w:szCs w:val="24"/>
          <w:u w:val="single"/>
        </w:rPr>
        <w:t xml:space="preserve"> Measures Worthy of </w:t>
      </w:r>
      <w:r w:rsidR="00A94BCC" w:rsidRPr="00A94BCC">
        <w:rPr>
          <w:rFonts w:ascii="Times New Roman" w:hAnsi="Times New Roman" w:cs="Times New Roman"/>
          <w:sz w:val="24"/>
          <w:szCs w:val="24"/>
          <w:u w:val="single"/>
        </w:rPr>
        <w:t xml:space="preserve">Consideration </w:t>
      </w:r>
      <w:r w:rsidR="00E02FD3" w:rsidRPr="00A94BCC">
        <w:rPr>
          <w:rFonts w:ascii="Times New Roman" w:hAnsi="Times New Roman" w:cs="Times New Roman"/>
          <w:sz w:val="24"/>
          <w:szCs w:val="24"/>
          <w:u w:val="single"/>
        </w:rPr>
        <w:t xml:space="preserve">(but </w:t>
      </w:r>
      <w:r w:rsidRPr="00A94BCC">
        <w:rPr>
          <w:rFonts w:ascii="Times New Roman" w:hAnsi="Times New Roman" w:cs="Times New Roman"/>
          <w:sz w:val="24"/>
          <w:szCs w:val="24"/>
          <w:u w:val="single"/>
        </w:rPr>
        <w:t xml:space="preserve">Not Analyzed </w:t>
      </w:r>
      <w:r w:rsidR="00E02FD3" w:rsidRPr="00A94BCC">
        <w:rPr>
          <w:rFonts w:ascii="Times New Roman" w:hAnsi="Times New Roman" w:cs="Times New Roman"/>
          <w:sz w:val="24"/>
          <w:szCs w:val="24"/>
          <w:u w:val="single"/>
        </w:rPr>
        <w:t>Here)</w:t>
      </w:r>
    </w:p>
    <w:p w14:paraId="5960A48B" w14:textId="4BD38DFA" w:rsidR="002C5932" w:rsidRDefault="000D27A0" w:rsidP="00C32F94">
      <w:pPr>
        <w:rPr>
          <w:rFonts w:ascii="Times New Roman" w:hAnsi="Times New Roman" w:cs="Times New Roman"/>
          <w:sz w:val="24"/>
          <w:szCs w:val="24"/>
        </w:rPr>
      </w:pPr>
      <w:r>
        <w:rPr>
          <w:rFonts w:ascii="Times New Roman" w:hAnsi="Times New Roman" w:cs="Times New Roman"/>
          <w:sz w:val="24"/>
          <w:szCs w:val="24"/>
        </w:rPr>
        <w:t>Beyond the transportation price-shifting modeled here, and cap-and-trade modeled by TCI, t</w:t>
      </w:r>
      <w:r w:rsidR="00E02FD3">
        <w:rPr>
          <w:rFonts w:ascii="Times New Roman" w:hAnsi="Times New Roman" w:cs="Times New Roman"/>
          <w:sz w:val="24"/>
          <w:szCs w:val="24"/>
        </w:rPr>
        <w:t xml:space="preserve">here is the potential to deploy additional state-level policies that could alter the economics of consumer choices to further reduce transportation carbon emissions.  </w:t>
      </w:r>
      <w:r w:rsidR="002C5932">
        <w:rPr>
          <w:rFonts w:ascii="Times New Roman" w:hAnsi="Times New Roman" w:cs="Times New Roman"/>
          <w:sz w:val="24"/>
          <w:szCs w:val="24"/>
        </w:rPr>
        <w:t>Such measures fall under three broad categories:</w:t>
      </w:r>
      <w:r w:rsidR="00E02FD3">
        <w:rPr>
          <w:rFonts w:ascii="Times New Roman" w:hAnsi="Times New Roman" w:cs="Times New Roman"/>
          <w:sz w:val="24"/>
          <w:szCs w:val="24"/>
        </w:rPr>
        <w:t xml:space="preserve"> (a) additional transportation price shifting; (b)</w:t>
      </w:r>
      <w:r w:rsidR="002C5932">
        <w:rPr>
          <w:rFonts w:ascii="Times New Roman" w:hAnsi="Times New Roman" w:cs="Times New Roman"/>
          <w:sz w:val="24"/>
          <w:szCs w:val="24"/>
        </w:rPr>
        <w:t xml:space="preserve"> establishing a cap-and-trade carbon price floor (largely for revenue raising purposes); and (c) encouraging the purchase of fuel-efficient vehicles.  </w:t>
      </w:r>
    </w:p>
    <w:p w14:paraId="1BFCC6E9" w14:textId="4CE8E297" w:rsidR="008E6030" w:rsidRDefault="002C5932" w:rsidP="00C32F94">
      <w:pPr>
        <w:rPr>
          <w:rFonts w:ascii="Times New Roman" w:hAnsi="Times New Roman" w:cs="Times New Roman"/>
          <w:sz w:val="24"/>
          <w:szCs w:val="24"/>
        </w:rPr>
      </w:pPr>
      <w:r>
        <w:rPr>
          <w:rFonts w:ascii="Times New Roman" w:hAnsi="Times New Roman" w:cs="Times New Roman"/>
          <w:sz w:val="24"/>
          <w:szCs w:val="24"/>
        </w:rPr>
        <w:t>Under (a), states could convert annual vehicle registration fees to mileage fees (much like vehicle purchase sales taxes being converted to such fees, as proposed and analyzed by this submission)</w:t>
      </w:r>
      <w:r w:rsidR="008E6030">
        <w:rPr>
          <w:rFonts w:ascii="Times New Roman" w:hAnsi="Times New Roman" w:cs="Times New Roman"/>
          <w:sz w:val="24"/>
          <w:szCs w:val="24"/>
        </w:rPr>
        <w:t xml:space="preserve">.  States could require employers to make available pre-tax transit benefits to their employees through their payroll systems, as some cities, including New York City, Washington, D.C., and San Francisco, are already requiring.  </w:t>
      </w:r>
      <w:r w:rsidR="00D73C44">
        <w:rPr>
          <w:rFonts w:ascii="Times New Roman" w:hAnsi="Times New Roman" w:cs="Times New Roman"/>
          <w:sz w:val="24"/>
          <w:szCs w:val="24"/>
        </w:rPr>
        <w:t xml:space="preserve">Such an accommodation has the effect of reducing the out-of-pocket cost for transit commuters by the </w:t>
      </w:r>
      <w:r w:rsidR="007E5200">
        <w:rPr>
          <w:rFonts w:ascii="Times New Roman" w:hAnsi="Times New Roman" w:cs="Times New Roman"/>
          <w:sz w:val="24"/>
          <w:szCs w:val="24"/>
        </w:rPr>
        <w:t xml:space="preserve">additional </w:t>
      </w:r>
      <w:r w:rsidR="00D73C44">
        <w:rPr>
          <w:rFonts w:ascii="Times New Roman" w:hAnsi="Times New Roman" w:cs="Times New Roman"/>
          <w:sz w:val="24"/>
          <w:szCs w:val="24"/>
        </w:rPr>
        <w:t>income and payroll taxes th</w:t>
      </w:r>
      <w:r w:rsidR="0010524E">
        <w:rPr>
          <w:rFonts w:ascii="Times New Roman" w:hAnsi="Times New Roman" w:cs="Times New Roman"/>
          <w:sz w:val="24"/>
          <w:szCs w:val="24"/>
        </w:rPr>
        <w:t>at would have otherwise been deducted from</w:t>
      </w:r>
      <w:r w:rsidR="00D73C44">
        <w:rPr>
          <w:rFonts w:ascii="Times New Roman" w:hAnsi="Times New Roman" w:cs="Times New Roman"/>
          <w:sz w:val="24"/>
          <w:szCs w:val="24"/>
        </w:rPr>
        <w:t xml:space="preserve"> their wages </w:t>
      </w:r>
      <w:r w:rsidR="0010524E">
        <w:rPr>
          <w:rFonts w:ascii="Times New Roman" w:hAnsi="Times New Roman" w:cs="Times New Roman"/>
          <w:sz w:val="24"/>
          <w:szCs w:val="24"/>
        </w:rPr>
        <w:t>when purchasing</w:t>
      </w:r>
      <w:r w:rsidR="00D73C44">
        <w:rPr>
          <w:rFonts w:ascii="Times New Roman" w:hAnsi="Times New Roman" w:cs="Times New Roman"/>
          <w:sz w:val="24"/>
          <w:szCs w:val="24"/>
        </w:rPr>
        <w:t xml:space="preserve"> transit</w:t>
      </w:r>
      <w:r w:rsidR="0010524E">
        <w:rPr>
          <w:rFonts w:ascii="Times New Roman" w:hAnsi="Times New Roman" w:cs="Times New Roman"/>
          <w:sz w:val="24"/>
          <w:szCs w:val="24"/>
        </w:rPr>
        <w:t xml:space="preserve"> after getting paid</w:t>
      </w:r>
      <w:r w:rsidR="007E5200">
        <w:rPr>
          <w:rFonts w:ascii="Times New Roman" w:hAnsi="Times New Roman" w:cs="Times New Roman"/>
          <w:sz w:val="24"/>
          <w:szCs w:val="24"/>
        </w:rPr>
        <w:t xml:space="preserve"> versus when the transit fare is deducted as a “pre-wage” employee expense</w:t>
      </w:r>
      <w:r w:rsidR="00D73C44">
        <w:rPr>
          <w:rFonts w:ascii="Times New Roman" w:hAnsi="Times New Roman" w:cs="Times New Roman"/>
          <w:sz w:val="24"/>
          <w:szCs w:val="24"/>
        </w:rPr>
        <w:t xml:space="preserve">. </w:t>
      </w:r>
      <w:r w:rsidR="008E6030">
        <w:rPr>
          <w:rFonts w:ascii="Times New Roman" w:hAnsi="Times New Roman" w:cs="Times New Roman"/>
          <w:sz w:val="24"/>
          <w:szCs w:val="24"/>
        </w:rPr>
        <w:t>States could also encourage employers, perhaps through tax</w:t>
      </w:r>
      <w:r w:rsidR="00E91612">
        <w:rPr>
          <w:rFonts w:ascii="Times New Roman" w:hAnsi="Times New Roman" w:cs="Times New Roman"/>
          <w:sz w:val="24"/>
          <w:szCs w:val="24"/>
        </w:rPr>
        <w:t xml:space="preserve"> credits, to offer parking cash </w:t>
      </w:r>
      <w:r w:rsidR="008E6030">
        <w:rPr>
          <w:rFonts w:ascii="Times New Roman" w:hAnsi="Times New Roman" w:cs="Times New Roman"/>
          <w:sz w:val="24"/>
          <w:szCs w:val="24"/>
        </w:rPr>
        <w:t>out in a “more aggressive” form, such a</w:t>
      </w:r>
      <w:r w:rsidR="00E91612">
        <w:rPr>
          <w:rFonts w:ascii="Times New Roman" w:hAnsi="Times New Roman" w:cs="Times New Roman"/>
          <w:sz w:val="24"/>
          <w:szCs w:val="24"/>
        </w:rPr>
        <w:t xml:space="preserve">s by allowing employees to cash </w:t>
      </w:r>
      <w:r w:rsidR="008E6030">
        <w:rPr>
          <w:rFonts w:ascii="Times New Roman" w:hAnsi="Times New Roman" w:cs="Times New Roman"/>
          <w:sz w:val="24"/>
          <w:szCs w:val="24"/>
        </w:rPr>
        <w:t>out their parking on a daily instead of a monthly basis (the more flexible the incentives, the more likely</w:t>
      </w:r>
      <w:r w:rsidR="007E5200">
        <w:rPr>
          <w:rFonts w:ascii="Times New Roman" w:hAnsi="Times New Roman" w:cs="Times New Roman"/>
          <w:sz w:val="24"/>
          <w:szCs w:val="24"/>
        </w:rPr>
        <w:t xml:space="preserve"> commuters will respond</w:t>
      </w:r>
      <w:r w:rsidR="008E6030">
        <w:rPr>
          <w:rFonts w:ascii="Times New Roman" w:hAnsi="Times New Roman" w:cs="Times New Roman"/>
          <w:sz w:val="24"/>
          <w:szCs w:val="24"/>
        </w:rPr>
        <w:t>).</w:t>
      </w:r>
    </w:p>
    <w:p w14:paraId="563D9BDD" w14:textId="41E3494E" w:rsidR="007352A9" w:rsidRDefault="008E6030" w:rsidP="00C32F94">
      <w:pPr>
        <w:rPr>
          <w:rFonts w:ascii="Times New Roman" w:hAnsi="Times New Roman" w:cs="Times New Roman"/>
          <w:sz w:val="24"/>
          <w:szCs w:val="24"/>
        </w:rPr>
      </w:pPr>
      <w:r>
        <w:rPr>
          <w:rFonts w:ascii="Times New Roman" w:hAnsi="Times New Roman" w:cs="Times New Roman"/>
          <w:sz w:val="24"/>
          <w:szCs w:val="24"/>
        </w:rPr>
        <w:t>Under (b), the only way to ensure revenues for clean transportation investments is to establish a price floor for cap-and-trade allowances</w:t>
      </w:r>
      <w:r w:rsidR="008E377E">
        <w:rPr>
          <w:rFonts w:ascii="Times New Roman" w:hAnsi="Times New Roman" w:cs="Times New Roman"/>
          <w:sz w:val="24"/>
          <w:szCs w:val="24"/>
        </w:rPr>
        <w:t xml:space="preserve"> </w:t>
      </w:r>
      <w:r w:rsidR="008E377E">
        <w:rPr>
          <w:rFonts w:ascii="Times New Roman" w:hAnsi="Times New Roman" w:cs="Times New Roman"/>
          <w:sz w:val="24"/>
          <w:szCs w:val="24"/>
        </w:rPr>
        <w:t>(with a higher price floor meaning more revenues)</w:t>
      </w:r>
      <w:r>
        <w:rPr>
          <w:rFonts w:ascii="Times New Roman" w:hAnsi="Times New Roman" w:cs="Times New Roman"/>
          <w:sz w:val="24"/>
          <w:szCs w:val="24"/>
        </w:rPr>
        <w:t>.  A</w:t>
      </w:r>
      <w:r w:rsidR="007E5200">
        <w:rPr>
          <w:rFonts w:ascii="Times New Roman" w:hAnsi="Times New Roman" w:cs="Times New Roman"/>
          <w:sz w:val="24"/>
          <w:szCs w:val="24"/>
        </w:rPr>
        <w:t>s noted earlier, a</w:t>
      </w:r>
      <w:r>
        <w:rPr>
          <w:rFonts w:ascii="Times New Roman" w:hAnsi="Times New Roman" w:cs="Times New Roman"/>
          <w:sz w:val="24"/>
          <w:szCs w:val="24"/>
        </w:rPr>
        <w:t xml:space="preserve"> guaranteed revenue stream is essential for issuing investment bonds</w:t>
      </w:r>
      <w:r w:rsidR="00A17EE1">
        <w:rPr>
          <w:rFonts w:ascii="Times New Roman" w:hAnsi="Times New Roman" w:cs="Times New Roman"/>
          <w:sz w:val="24"/>
          <w:szCs w:val="24"/>
        </w:rPr>
        <w:t xml:space="preserve"> (state-level gas tax revenues are often bonded)</w:t>
      </w:r>
      <w:r>
        <w:rPr>
          <w:rFonts w:ascii="Times New Roman" w:hAnsi="Times New Roman" w:cs="Times New Roman"/>
          <w:sz w:val="24"/>
          <w:szCs w:val="24"/>
        </w:rPr>
        <w:t>.</w:t>
      </w:r>
      <w:r w:rsidR="00DA4139">
        <w:rPr>
          <w:rFonts w:ascii="Times New Roman" w:hAnsi="Times New Roman" w:cs="Times New Roman"/>
          <w:sz w:val="24"/>
          <w:szCs w:val="24"/>
        </w:rPr>
        <w:t xml:space="preserve">  Such a floor (if it does kick in) would also increase the economic incentive to travelers to reduce their carbon footprint.</w:t>
      </w:r>
      <w:r>
        <w:rPr>
          <w:rFonts w:ascii="Times New Roman" w:hAnsi="Times New Roman" w:cs="Times New Roman"/>
          <w:sz w:val="24"/>
          <w:szCs w:val="24"/>
        </w:rPr>
        <w:t xml:space="preserve"> </w:t>
      </w:r>
      <w:r w:rsidR="00DA4139">
        <w:rPr>
          <w:rFonts w:ascii="Times New Roman" w:hAnsi="Times New Roman" w:cs="Times New Roman"/>
          <w:sz w:val="24"/>
          <w:szCs w:val="24"/>
        </w:rPr>
        <w:t xml:space="preserve"> Even if the auction price always remains above the floor price, it would still, at the margins, </w:t>
      </w:r>
      <w:r w:rsidR="008E377E">
        <w:rPr>
          <w:rFonts w:ascii="Times New Roman" w:hAnsi="Times New Roman" w:cs="Times New Roman"/>
          <w:sz w:val="24"/>
          <w:szCs w:val="24"/>
        </w:rPr>
        <w:t xml:space="preserve">likely </w:t>
      </w:r>
      <w:r w:rsidR="00DA4139">
        <w:rPr>
          <w:rFonts w:ascii="Times New Roman" w:hAnsi="Times New Roman" w:cs="Times New Roman"/>
          <w:sz w:val="24"/>
          <w:szCs w:val="24"/>
        </w:rPr>
        <w:t>have some impact on longer term consumer decisions related to purchases of vehicles (for fuel efficiency) and housing (for location efficienc</w:t>
      </w:r>
      <w:r w:rsidR="008E377E">
        <w:rPr>
          <w:rFonts w:ascii="Times New Roman" w:hAnsi="Times New Roman" w:cs="Times New Roman"/>
          <w:sz w:val="24"/>
          <w:szCs w:val="24"/>
        </w:rPr>
        <w:t>y) by creating an expectation that</w:t>
      </w:r>
      <w:r w:rsidR="00DA4139">
        <w:rPr>
          <w:rFonts w:ascii="Times New Roman" w:hAnsi="Times New Roman" w:cs="Times New Roman"/>
          <w:sz w:val="24"/>
          <w:szCs w:val="24"/>
        </w:rPr>
        <w:t xml:space="preserve"> </w:t>
      </w:r>
      <w:r w:rsidR="008E377E">
        <w:rPr>
          <w:rFonts w:ascii="Times New Roman" w:hAnsi="Times New Roman" w:cs="Times New Roman"/>
          <w:sz w:val="24"/>
          <w:szCs w:val="24"/>
        </w:rPr>
        <w:t>future</w:t>
      </w:r>
      <w:r w:rsidR="00DA4139">
        <w:rPr>
          <w:rFonts w:ascii="Times New Roman" w:hAnsi="Times New Roman" w:cs="Times New Roman"/>
          <w:sz w:val="24"/>
          <w:szCs w:val="24"/>
        </w:rPr>
        <w:t xml:space="preserve"> fuel prices</w:t>
      </w:r>
      <w:r w:rsidR="008E377E">
        <w:rPr>
          <w:rFonts w:ascii="Times New Roman" w:hAnsi="Times New Roman" w:cs="Times New Roman"/>
          <w:sz w:val="24"/>
          <w:szCs w:val="24"/>
        </w:rPr>
        <w:t xml:space="preserve"> may be higher than otherwise</w:t>
      </w:r>
      <w:r w:rsidR="00DA4139">
        <w:rPr>
          <w:rFonts w:ascii="Times New Roman" w:hAnsi="Times New Roman" w:cs="Times New Roman"/>
          <w:sz w:val="24"/>
          <w:szCs w:val="24"/>
        </w:rPr>
        <w:t>.</w:t>
      </w:r>
      <w:r w:rsidR="00A17EE1">
        <w:rPr>
          <w:rFonts w:ascii="Times New Roman" w:hAnsi="Times New Roman" w:cs="Times New Roman"/>
          <w:sz w:val="24"/>
          <w:szCs w:val="24"/>
        </w:rPr>
        <w:t xml:space="preserve">  </w:t>
      </w:r>
      <w:r w:rsidR="008E377E">
        <w:rPr>
          <w:rFonts w:ascii="Times New Roman" w:hAnsi="Times New Roman" w:cs="Times New Roman"/>
          <w:sz w:val="24"/>
          <w:szCs w:val="24"/>
        </w:rPr>
        <w:t>Enacting a</w:t>
      </w:r>
      <w:r w:rsidR="00A17EE1">
        <w:rPr>
          <w:rFonts w:ascii="Times New Roman" w:hAnsi="Times New Roman" w:cs="Times New Roman"/>
          <w:sz w:val="24"/>
          <w:szCs w:val="24"/>
        </w:rPr>
        <w:t xml:space="preserve"> high price floor</w:t>
      </w:r>
      <w:r w:rsidR="008E377E">
        <w:rPr>
          <w:rFonts w:ascii="Times New Roman" w:hAnsi="Times New Roman" w:cs="Times New Roman"/>
          <w:sz w:val="24"/>
          <w:szCs w:val="24"/>
        </w:rPr>
        <w:t>, though,</w:t>
      </w:r>
      <w:r w:rsidR="00A17EE1">
        <w:rPr>
          <w:rFonts w:ascii="Times New Roman" w:hAnsi="Times New Roman" w:cs="Times New Roman"/>
          <w:sz w:val="24"/>
          <w:szCs w:val="24"/>
        </w:rPr>
        <w:t xml:space="preserve"> could run into political obstacles (especially if older, less efficient vehicles are driven </w:t>
      </w:r>
      <w:r w:rsidR="00E612A8">
        <w:rPr>
          <w:rFonts w:ascii="Times New Roman" w:hAnsi="Times New Roman" w:cs="Times New Roman"/>
          <w:sz w:val="24"/>
          <w:szCs w:val="24"/>
        </w:rPr>
        <w:t xml:space="preserve">more often </w:t>
      </w:r>
      <w:r w:rsidR="00A17EE1">
        <w:rPr>
          <w:rFonts w:ascii="Times New Roman" w:hAnsi="Times New Roman" w:cs="Times New Roman"/>
          <w:sz w:val="24"/>
          <w:szCs w:val="24"/>
        </w:rPr>
        <w:t>by lower</w:t>
      </w:r>
      <w:r w:rsidR="007E5200">
        <w:rPr>
          <w:rFonts w:ascii="Times New Roman" w:hAnsi="Times New Roman" w:cs="Times New Roman"/>
          <w:sz w:val="24"/>
          <w:szCs w:val="24"/>
        </w:rPr>
        <w:t>-</w:t>
      </w:r>
      <w:r w:rsidR="00A17EE1">
        <w:rPr>
          <w:rFonts w:ascii="Times New Roman" w:hAnsi="Times New Roman" w:cs="Times New Roman"/>
          <w:sz w:val="24"/>
          <w:szCs w:val="24"/>
        </w:rPr>
        <w:t>income households)</w:t>
      </w:r>
      <w:r w:rsidR="00E612A8">
        <w:rPr>
          <w:rFonts w:ascii="Times New Roman" w:hAnsi="Times New Roman" w:cs="Times New Roman"/>
          <w:sz w:val="24"/>
          <w:szCs w:val="24"/>
        </w:rPr>
        <w:t xml:space="preserve">.  States seeking additional revenues for bonding for clean transportation investments may find other pricing measures, such as mileage-based user fees, more </w:t>
      </w:r>
      <w:r w:rsidR="00E91612">
        <w:rPr>
          <w:rFonts w:ascii="Times New Roman" w:hAnsi="Times New Roman" w:cs="Times New Roman"/>
          <w:sz w:val="24"/>
          <w:szCs w:val="24"/>
        </w:rPr>
        <w:t>politically</w:t>
      </w:r>
      <w:r w:rsidR="00E612A8">
        <w:rPr>
          <w:rFonts w:ascii="Times New Roman" w:hAnsi="Times New Roman" w:cs="Times New Roman"/>
          <w:sz w:val="24"/>
          <w:szCs w:val="24"/>
        </w:rPr>
        <w:t xml:space="preserve"> palatable.</w:t>
      </w:r>
      <w:r w:rsidR="00611D2E">
        <w:rPr>
          <w:rFonts w:ascii="Times New Roman" w:hAnsi="Times New Roman" w:cs="Times New Roman"/>
          <w:sz w:val="24"/>
          <w:szCs w:val="24"/>
        </w:rPr>
        <w:t xml:space="preserve">  (The State of Oregon, the national leader in road user charging, has pledged to use such revenues for bonding</w:t>
      </w:r>
      <w:r w:rsidR="007E5200">
        <w:rPr>
          <w:rFonts w:ascii="Times New Roman" w:hAnsi="Times New Roman" w:cs="Times New Roman"/>
          <w:sz w:val="24"/>
          <w:szCs w:val="24"/>
        </w:rPr>
        <w:t>, as noted earlier.</w:t>
      </w:r>
      <w:r w:rsidR="00611D2E">
        <w:rPr>
          <w:rFonts w:ascii="Times New Roman" w:hAnsi="Times New Roman" w:cs="Times New Roman"/>
          <w:sz w:val="24"/>
          <w:szCs w:val="24"/>
        </w:rPr>
        <w:t>)</w:t>
      </w:r>
      <w:r w:rsidR="00E612A8">
        <w:rPr>
          <w:rFonts w:ascii="Times New Roman" w:hAnsi="Times New Roman" w:cs="Times New Roman"/>
          <w:sz w:val="24"/>
          <w:szCs w:val="24"/>
        </w:rPr>
        <w:t xml:space="preserve"> </w:t>
      </w:r>
    </w:p>
    <w:p w14:paraId="3E1266A4" w14:textId="5F2A6A56" w:rsidR="00613A16" w:rsidRDefault="007352A9" w:rsidP="00181254">
      <w:pPr>
        <w:rPr>
          <w:rFonts w:ascii="Times New Roman" w:hAnsi="Times New Roman" w:cs="Times New Roman"/>
          <w:sz w:val="24"/>
          <w:szCs w:val="24"/>
        </w:rPr>
      </w:pPr>
      <w:r>
        <w:rPr>
          <w:rFonts w:ascii="Times New Roman" w:hAnsi="Times New Roman" w:cs="Times New Roman"/>
          <w:sz w:val="24"/>
          <w:szCs w:val="24"/>
        </w:rPr>
        <w:t xml:space="preserve">Under (c), much has been written about whether consumers fully account for fuel economy in their vehicle purchase decisions (they don’t) </w:t>
      </w:r>
      <w:r w:rsidR="00656B68">
        <w:rPr>
          <w:rFonts w:ascii="Times New Roman" w:hAnsi="Times New Roman" w:cs="Times New Roman"/>
          <w:sz w:val="24"/>
          <w:szCs w:val="24"/>
        </w:rPr>
        <w:t xml:space="preserve">and how purchase decisions can be influenced (e.g., Federal rules now require fuel economy labels in vehicle showrooms to translate fuel economy to vehicle fuel costs for the average driver).  Feebates, where tax surcharges are placed on the </w:t>
      </w:r>
      <w:r w:rsidR="00656B68">
        <w:rPr>
          <w:rFonts w:ascii="Times New Roman" w:hAnsi="Times New Roman" w:cs="Times New Roman"/>
          <w:sz w:val="24"/>
          <w:szCs w:val="24"/>
        </w:rPr>
        <w:lastRenderedPageBreak/>
        <w:t>purchase of fuel inefficient vehicles and tax rebates are provided for purchasing fuel efficient vehicles, provide direct consumer incentives that even the Obama era fuel economy standards do</w:t>
      </w:r>
      <w:r w:rsidR="008E377E">
        <w:rPr>
          <w:rFonts w:ascii="Times New Roman" w:hAnsi="Times New Roman" w:cs="Times New Roman"/>
          <w:sz w:val="24"/>
          <w:szCs w:val="24"/>
        </w:rPr>
        <w:t xml:space="preserve"> no</w:t>
      </w:r>
      <w:r w:rsidR="00656B68">
        <w:rPr>
          <w:rFonts w:ascii="Times New Roman" w:hAnsi="Times New Roman" w:cs="Times New Roman"/>
          <w:sz w:val="24"/>
          <w:szCs w:val="24"/>
        </w:rPr>
        <w:t>t provide</w:t>
      </w:r>
      <w:r w:rsidR="004453A0">
        <w:rPr>
          <w:rFonts w:ascii="Times New Roman" w:hAnsi="Times New Roman" w:cs="Times New Roman"/>
          <w:sz w:val="24"/>
          <w:szCs w:val="24"/>
        </w:rPr>
        <w:t>.</w:t>
      </w:r>
      <w:r w:rsidR="00656B68">
        <w:rPr>
          <w:rFonts w:ascii="Times New Roman" w:hAnsi="Times New Roman" w:cs="Times New Roman"/>
          <w:sz w:val="24"/>
          <w:szCs w:val="24"/>
        </w:rPr>
        <w:t xml:space="preserve"> (</w:t>
      </w:r>
      <w:r w:rsidR="004453A0">
        <w:rPr>
          <w:rFonts w:ascii="Times New Roman" w:hAnsi="Times New Roman" w:cs="Times New Roman"/>
          <w:sz w:val="24"/>
          <w:szCs w:val="24"/>
        </w:rPr>
        <w:t>B</w:t>
      </w:r>
      <w:r w:rsidR="00656B68">
        <w:rPr>
          <w:rFonts w:ascii="Times New Roman" w:hAnsi="Times New Roman" w:cs="Times New Roman"/>
          <w:sz w:val="24"/>
          <w:szCs w:val="24"/>
        </w:rPr>
        <w:t xml:space="preserve">ecause </w:t>
      </w:r>
      <w:r w:rsidR="004453A0">
        <w:rPr>
          <w:rFonts w:ascii="Times New Roman" w:hAnsi="Times New Roman" w:cs="Times New Roman"/>
          <w:sz w:val="24"/>
          <w:szCs w:val="24"/>
        </w:rPr>
        <w:t>current fuel efficiency</w:t>
      </w:r>
      <w:r w:rsidR="00656B68">
        <w:rPr>
          <w:rFonts w:ascii="Times New Roman" w:hAnsi="Times New Roman" w:cs="Times New Roman"/>
          <w:sz w:val="24"/>
          <w:szCs w:val="24"/>
        </w:rPr>
        <w:t xml:space="preserve"> standards are “footprint” rather than fleet based, the requirements </w:t>
      </w:r>
      <w:r w:rsidR="004453A0">
        <w:rPr>
          <w:rFonts w:ascii="Times New Roman" w:hAnsi="Times New Roman" w:cs="Times New Roman"/>
          <w:sz w:val="24"/>
          <w:szCs w:val="24"/>
        </w:rPr>
        <w:t xml:space="preserve">are </w:t>
      </w:r>
      <w:r w:rsidR="00656B68">
        <w:rPr>
          <w:rFonts w:ascii="Times New Roman" w:hAnsi="Times New Roman" w:cs="Times New Roman"/>
          <w:sz w:val="24"/>
          <w:szCs w:val="24"/>
        </w:rPr>
        <w:t>pegged to the size of the vehicles that consumers choose to purchase</w:t>
      </w:r>
      <w:r w:rsidR="004453A0">
        <w:rPr>
          <w:rFonts w:ascii="Times New Roman" w:hAnsi="Times New Roman" w:cs="Times New Roman"/>
          <w:sz w:val="24"/>
          <w:szCs w:val="24"/>
        </w:rPr>
        <w:t>.  I</w:t>
      </w:r>
      <w:r w:rsidR="00656B68">
        <w:rPr>
          <w:rFonts w:ascii="Times New Roman" w:hAnsi="Times New Roman" w:cs="Times New Roman"/>
          <w:sz w:val="24"/>
          <w:szCs w:val="24"/>
        </w:rPr>
        <w:t xml:space="preserve">f low fuel prices encourage consumers to purchase larger vehicles, manufacturers are not required to make such larger vehicles </w:t>
      </w:r>
      <w:r w:rsidR="007A15DB">
        <w:rPr>
          <w:rFonts w:ascii="Times New Roman" w:hAnsi="Times New Roman" w:cs="Times New Roman"/>
          <w:sz w:val="24"/>
          <w:szCs w:val="24"/>
        </w:rPr>
        <w:t>more</w:t>
      </w:r>
      <w:r w:rsidR="00656B68">
        <w:rPr>
          <w:rFonts w:ascii="Times New Roman" w:hAnsi="Times New Roman" w:cs="Times New Roman"/>
          <w:sz w:val="24"/>
          <w:szCs w:val="24"/>
        </w:rPr>
        <w:t xml:space="preserve"> fuel efficient than t</w:t>
      </w:r>
      <w:r w:rsidR="007A15DB">
        <w:rPr>
          <w:rFonts w:ascii="Times New Roman" w:hAnsi="Times New Roman" w:cs="Times New Roman"/>
          <w:sz w:val="24"/>
          <w:szCs w:val="24"/>
        </w:rPr>
        <w:t xml:space="preserve">he footprint standard would dictate, even if the result is that </w:t>
      </w:r>
      <w:r w:rsidR="004453A0">
        <w:rPr>
          <w:rFonts w:ascii="Times New Roman" w:hAnsi="Times New Roman" w:cs="Times New Roman"/>
          <w:sz w:val="24"/>
          <w:szCs w:val="24"/>
        </w:rPr>
        <w:t xml:space="preserve">the </w:t>
      </w:r>
      <w:r w:rsidR="007A15DB">
        <w:rPr>
          <w:rFonts w:ascii="Times New Roman" w:hAnsi="Times New Roman" w:cs="Times New Roman"/>
          <w:sz w:val="24"/>
          <w:szCs w:val="24"/>
        </w:rPr>
        <w:t>overall efficiency of vehicles sold is lowe</w:t>
      </w:r>
      <w:r w:rsidR="008E377E">
        <w:rPr>
          <w:rFonts w:ascii="Times New Roman" w:hAnsi="Times New Roman" w:cs="Times New Roman"/>
          <w:sz w:val="24"/>
          <w:szCs w:val="24"/>
        </w:rPr>
        <w:t>r than regulators had projected</w:t>
      </w:r>
      <w:r w:rsidR="00A17EE1">
        <w:rPr>
          <w:rFonts w:ascii="Times New Roman" w:hAnsi="Times New Roman" w:cs="Times New Roman"/>
          <w:sz w:val="24"/>
          <w:szCs w:val="24"/>
        </w:rPr>
        <w:t>.</w:t>
      </w:r>
      <w:r w:rsidR="008E377E">
        <w:rPr>
          <w:rFonts w:ascii="Times New Roman" w:hAnsi="Times New Roman" w:cs="Times New Roman"/>
          <w:sz w:val="24"/>
          <w:szCs w:val="24"/>
        </w:rPr>
        <w:t>)</w:t>
      </w:r>
      <w:r w:rsidR="00A17EE1">
        <w:rPr>
          <w:rFonts w:ascii="Times New Roman" w:hAnsi="Times New Roman" w:cs="Times New Roman"/>
          <w:sz w:val="24"/>
          <w:szCs w:val="24"/>
        </w:rPr>
        <w:t xml:space="preserve">  Feebate policies could take many forms; for example, Minnesota offers $250 in toll credits for purchasers of electric vehicles.</w:t>
      </w:r>
    </w:p>
    <w:p w14:paraId="6CF98374" w14:textId="77777777" w:rsidR="00E91612" w:rsidRDefault="00E91612" w:rsidP="00C32F94">
      <w:pPr>
        <w:rPr>
          <w:rFonts w:ascii="Times New Roman" w:hAnsi="Times New Roman" w:cs="Times New Roman"/>
          <w:sz w:val="24"/>
          <w:szCs w:val="24"/>
          <w:u w:val="single"/>
        </w:rPr>
      </w:pPr>
    </w:p>
    <w:p w14:paraId="50CAEF81" w14:textId="48F15292" w:rsidR="00613A16" w:rsidRPr="00537FAD" w:rsidRDefault="00611D2E" w:rsidP="00C32F94">
      <w:pPr>
        <w:rPr>
          <w:rFonts w:ascii="Times New Roman" w:hAnsi="Times New Roman" w:cs="Times New Roman"/>
          <w:sz w:val="24"/>
          <w:szCs w:val="24"/>
          <w:u w:val="single"/>
        </w:rPr>
      </w:pPr>
      <w:r w:rsidRPr="00537FAD">
        <w:rPr>
          <w:rFonts w:ascii="Times New Roman" w:hAnsi="Times New Roman" w:cs="Times New Roman"/>
          <w:sz w:val="24"/>
          <w:szCs w:val="24"/>
          <w:u w:val="single"/>
        </w:rPr>
        <w:t>Adding to the “Model Rule”</w:t>
      </w:r>
    </w:p>
    <w:p w14:paraId="0484EC34" w14:textId="388A19AB" w:rsidR="00611D2E" w:rsidRPr="00331427" w:rsidRDefault="00611D2E" w:rsidP="00C32F94">
      <w:pPr>
        <w:rPr>
          <w:rFonts w:ascii="Times New Roman" w:hAnsi="Times New Roman" w:cs="Times New Roman"/>
          <w:sz w:val="24"/>
          <w:szCs w:val="24"/>
        </w:rPr>
      </w:pPr>
      <w:r>
        <w:rPr>
          <w:rFonts w:ascii="Times New Roman" w:hAnsi="Times New Roman" w:cs="Times New Roman"/>
          <w:sz w:val="24"/>
          <w:szCs w:val="24"/>
        </w:rPr>
        <w:t>The model rule should provide states with an alternative c</w:t>
      </w:r>
      <w:r w:rsidR="00BB09BF">
        <w:rPr>
          <w:rFonts w:ascii="Times New Roman" w:hAnsi="Times New Roman" w:cs="Times New Roman"/>
          <w:sz w:val="24"/>
          <w:szCs w:val="24"/>
        </w:rPr>
        <w:t>ompliance path to cap-and-trade</w:t>
      </w:r>
      <w:r>
        <w:rPr>
          <w:rFonts w:ascii="Times New Roman" w:hAnsi="Times New Roman" w:cs="Times New Roman"/>
          <w:sz w:val="24"/>
          <w:szCs w:val="24"/>
        </w:rPr>
        <w:t xml:space="preserve"> that still must meet an equivalent reduction in transportation carbon emissions, especially since one TCI state governor has already stated his opposition to the gas</w:t>
      </w:r>
      <w:r w:rsidR="001551E2">
        <w:rPr>
          <w:rFonts w:ascii="Times New Roman" w:hAnsi="Times New Roman" w:cs="Times New Roman"/>
          <w:sz w:val="24"/>
          <w:szCs w:val="24"/>
        </w:rPr>
        <w:t>oline price</w:t>
      </w:r>
      <w:r>
        <w:rPr>
          <w:rFonts w:ascii="Times New Roman" w:hAnsi="Times New Roman" w:cs="Times New Roman"/>
          <w:sz w:val="24"/>
          <w:szCs w:val="24"/>
        </w:rPr>
        <w:t xml:space="preserve"> increase that cap-and-trade would </w:t>
      </w:r>
      <w:r w:rsidR="00EC794C">
        <w:rPr>
          <w:rFonts w:ascii="Times New Roman" w:hAnsi="Times New Roman" w:cs="Times New Roman"/>
          <w:sz w:val="24"/>
          <w:szCs w:val="24"/>
        </w:rPr>
        <w:t>effectuate</w:t>
      </w:r>
      <w:r>
        <w:rPr>
          <w:rFonts w:ascii="Times New Roman" w:hAnsi="Times New Roman" w:cs="Times New Roman"/>
          <w:sz w:val="24"/>
          <w:szCs w:val="24"/>
        </w:rPr>
        <w:t>.</w:t>
      </w:r>
      <w:r w:rsidR="00EC794C">
        <w:rPr>
          <w:rFonts w:ascii="Times New Roman" w:hAnsi="Times New Roman" w:cs="Times New Roman"/>
          <w:sz w:val="24"/>
          <w:szCs w:val="24"/>
        </w:rPr>
        <w:t xml:space="preserve">  </w:t>
      </w:r>
      <w:r w:rsidR="00537FAD">
        <w:rPr>
          <w:rFonts w:ascii="Times New Roman" w:hAnsi="Times New Roman" w:cs="Times New Roman"/>
          <w:sz w:val="24"/>
          <w:szCs w:val="24"/>
        </w:rPr>
        <w:t xml:space="preserve">As noted earlier, </w:t>
      </w:r>
      <w:r w:rsidR="00537FAD" w:rsidRPr="00331427">
        <w:rPr>
          <w:rFonts w:ascii="Times New Roman" w:hAnsi="Times New Roman" w:cs="Times New Roman"/>
          <w:sz w:val="24"/>
          <w:szCs w:val="24"/>
        </w:rPr>
        <w:t xml:space="preserve">emission reductions from the transportation </w:t>
      </w:r>
      <w:r w:rsidR="008E377E">
        <w:rPr>
          <w:rFonts w:ascii="Times New Roman" w:hAnsi="Times New Roman" w:cs="Times New Roman"/>
          <w:sz w:val="24"/>
          <w:szCs w:val="24"/>
        </w:rPr>
        <w:t>re-pricing</w:t>
      </w:r>
      <w:r w:rsidR="00537FAD" w:rsidRPr="00331427">
        <w:rPr>
          <w:rFonts w:ascii="Times New Roman" w:hAnsi="Times New Roman" w:cs="Times New Roman"/>
          <w:sz w:val="24"/>
          <w:szCs w:val="24"/>
        </w:rPr>
        <w:t xml:space="preserve"> policy bundle </w:t>
      </w:r>
      <w:r w:rsidR="008E377E">
        <w:rPr>
          <w:rFonts w:ascii="Times New Roman" w:hAnsi="Times New Roman" w:cs="Times New Roman"/>
          <w:sz w:val="24"/>
          <w:szCs w:val="24"/>
        </w:rPr>
        <w:t>was modeled to</w:t>
      </w:r>
      <w:r w:rsidR="00537FAD" w:rsidRPr="00331427">
        <w:rPr>
          <w:rFonts w:ascii="Times New Roman" w:hAnsi="Times New Roman" w:cs="Times New Roman"/>
          <w:sz w:val="24"/>
          <w:szCs w:val="24"/>
        </w:rPr>
        <w:t xml:space="preserve"> be 23.2% below </w:t>
      </w:r>
      <w:r w:rsidR="009E4F82" w:rsidRPr="00331427">
        <w:rPr>
          <w:rFonts w:ascii="Times New Roman" w:hAnsi="Times New Roman" w:cs="Times New Roman"/>
          <w:sz w:val="24"/>
          <w:szCs w:val="24"/>
        </w:rPr>
        <w:t>a Base Case scenario.</w:t>
      </w:r>
    </w:p>
    <w:p w14:paraId="279598EF" w14:textId="1D08C457" w:rsidR="00331427" w:rsidRDefault="00331427" w:rsidP="00331427">
      <w:pPr>
        <w:rPr>
          <w:rFonts w:ascii="Times New Roman" w:hAnsi="Times New Roman" w:cs="Times New Roman"/>
          <w:sz w:val="24"/>
        </w:rPr>
      </w:pPr>
      <w:r w:rsidRPr="00331427">
        <w:rPr>
          <w:rFonts w:ascii="Times New Roman" w:hAnsi="Times New Roman" w:cs="Times New Roman"/>
          <w:sz w:val="24"/>
        </w:rPr>
        <w:t>The model rule must first clearly articulate the specific policies that would</w:t>
      </w:r>
      <w:r w:rsidR="008E377E">
        <w:rPr>
          <w:rFonts w:ascii="Times New Roman" w:hAnsi="Times New Roman" w:cs="Times New Roman"/>
          <w:sz w:val="24"/>
        </w:rPr>
        <w:t xml:space="preserve"> form the basis of the emission</w:t>
      </w:r>
      <w:r w:rsidRPr="00331427">
        <w:rPr>
          <w:rFonts w:ascii="Times New Roman" w:hAnsi="Times New Roman" w:cs="Times New Roman"/>
          <w:sz w:val="24"/>
        </w:rPr>
        <w:t xml:space="preserve"> reductions.  The policies in the transportation price-shifting bundle would be the same ones as specified in detail in the cited research, </w:t>
      </w:r>
      <w:r w:rsidRPr="001C492E">
        <w:rPr>
          <w:rFonts w:ascii="Times New Roman" w:hAnsi="Times New Roman" w:cs="Times New Roman"/>
          <w:sz w:val="24"/>
        </w:rPr>
        <w:t xml:space="preserve">with their essential features highlighted </w:t>
      </w:r>
      <w:r w:rsidR="002B6778">
        <w:rPr>
          <w:rFonts w:ascii="Times New Roman" w:hAnsi="Times New Roman" w:cs="Times New Roman"/>
          <w:sz w:val="24"/>
        </w:rPr>
        <w:t>below.</w:t>
      </w:r>
    </w:p>
    <w:p w14:paraId="4F18BD92" w14:textId="2B3EF693" w:rsidR="002B6778" w:rsidRPr="001C492E" w:rsidRDefault="002B6778" w:rsidP="00331427">
      <w:pPr>
        <w:rPr>
          <w:rFonts w:ascii="Times New Roman" w:hAnsi="Times New Roman" w:cs="Times New Roman"/>
          <w:sz w:val="24"/>
        </w:rPr>
      </w:pPr>
      <w:r>
        <w:rPr>
          <w:rFonts w:ascii="Times New Roman" w:hAnsi="Times New Roman" w:cs="Times New Roman"/>
          <w:sz w:val="24"/>
        </w:rPr>
        <w:t>TCI should run the transportation price-shifting policy bun</w:t>
      </w:r>
      <w:r w:rsidR="00A759DC">
        <w:rPr>
          <w:rFonts w:ascii="Times New Roman" w:hAnsi="Times New Roman" w:cs="Times New Roman"/>
          <w:sz w:val="24"/>
        </w:rPr>
        <w:t>dle through its own model to project emission reductions.  Then, the specific policy parameters noted below should, if necessary, be ratcheted up a bit to achieve a projected 25% emission reduction.  Such “ratcheting” could</w:t>
      </w:r>
      <w:r w:rsidR="00FF0D37">
        <w:rPr>
          <w:rFonts w:ascii="Times New Roman" w:hAnsi="Times New Roman" w:cs="Times New Roman"/>
          <w:sz w:val="24"/>
        </w:rPr>
        <w:t>, for example</w:t>
      </w:r>
      <w:r w:rsidR="00FF0D37">
        <w:rPr>
          <w:rFonts w:ascii="Times New Roman" w:hAnsi="Times New Roman" w:cs="Times New Roman"/>
          <w:sz w:val="24"/>
        </w:rPr>
        <w:t>,</w:t>
      </w:r>
      <w:r w:rsidR="00A759DC">
        <w:rPr>
          <w:rFonts w:ascii="Times New Roman" w:hAnsi="Times New Roman" w:cs="Times New Roman"/>
          <w:sz w:val="24"/>
        </w:rPr>
        <w:t xml:space="preserve"> occur by increasing the percentage of insurance premiums that </w:t>
      </w:r>
      <w:r w:rsidR="00E8333A">
        <w:rPr>
          <w:rFonts w:ascii="Times New Roman" w:hAnsi="Times New Roman" w:cs="Times New Roman"/>
          <w:sz w:val="24"/>
        </w:rPr>
        <w:t>would have to</w:t>
      </w:r>
      <w:r w:rsidR="00A759DC">
        <w:rPr>
          <w:rFonts w:ascii="Times New Roman" w:hAnsi="Times New Roman" w:cs="Times New Roman"/>
          <w:sz w:val="24"/>
        </w:rPr>
        <w:t xml:space="preserve"> be mileage based</w:t>
      </w:r>
      <w:r w:rsidR="00E8333A">
        <w:rPr>
          <w:rFonts w:ascii="Times New Roman" w:hAnsi="Times New Roman" w:cs="Times New Roman"/>
          <w:sz w:val="24"/>
        </w:rPr>
        <w:t xml:space="preserve">.  Alternatively, any projected shortfall from the 25% emission reduction goal could be remedied by </w:t>
      </w:r>
      <w:r w:rsidR="00981528">
        <w:rPr>
          <w:rFonts w:ascii="Times New Roman" w:hAnsi="Times New Roman" w:cs="Times New Roman"/>
          <w:sz w:val="24"/>
        </w:rPr>
        <w:t>including</w:t>
      </w:r>
      <w:r w:rsidR="00E8333A">
        <w:rPr>
          <w:rFonts w:ascii="Times New Roman" w:hAnsi="Times New Roman" w:cs="Times New Roman"/>
          <w:sz w:val="24"/>
        </w:rPr>
        <w:t xml:space="preserve"> one or more of the additional measures discussed in the previous section (e.g., converting vehicle regi</w:t>
      </w:r>
      <w:r w:rsidR="00FF0D37">
        <w:rPr>
          <w:rFonts w:ascii="Times New Roman" w:hAnsi="Times New Roman" w:cs="Times New Roman"/>
          <w:sz w:val="24"/>
        </w:rPr>
        <w:t>stration fees to mileage taxes)</w:t>
      </w:r>
      <w:r w:rsidR="00E8333A">
        <w:rPr>
          <w:rFonts w:ascii="Times New Roman" w:hAnsi="Times New Roman" w:cs="Times New Roman"/>
          <w:sz w:val="24"/>
        </w:rPr>
        <w:t>.</w:t>
      </w:r>
      <w:r w:rsidR="00A759DC">
        <w:rPr>
          <w:rFonts w:ascii="Times New Roman" w:hAnsi="Times New Roman" w:cs="Times New Roman"/>
          <w:sz w:val="24"/>
        </w:rPr>
        <w:t xml:space="preserve"> </w:t>
      </w:r>
    </w:p>
    <w:p w14:paraId="1F8C0A29" w14:textId="1E4B389D" w:rsidR="00331427" w:rsidRPr="001C492E" w:rsidRDefault="00331427" w:rsidP="00331427">
      <w:pPr>
        <w:rPr>
          <w:rFonts w:ascii="Times New Roman" w:hAnsi="Times New Roman" w:cs="Times New Roman"/>
          <w:sz w:val="24"/>
        </w:rPr>
      </w:pPr>
      <w:r w:rsidRPr="001C492E">
        <w:rPr>
          <w:rFonts w:ascii="Times New Roman" w:hAnsi="Times New Roman" w:cs="Times New Roman"/>
          <w:sz w:val="24"/>
        </w:rPr>
        <w:t>For PAYDAYS car insurance, the model rule would need to demonstrate that premiums will o</w:t>
      </w:r>
      <w:r w:rsidR="00981528">
        <w:rPr>
          <w:rFonts w:ascii="Times New Roman" w:hAnsi="Times New Roman" w:cs="Times New Roman"/>
          <w:sz w:val="24"/>
        </w:rPr>
        <w:t xml:space="preserve">n average be at least 70% usage </w:t>
      </w:r>
      <w:r w:rsidRPr="001C492E">
        <w:rPr>
          <w:rFonts w:ascii="Times New Roman" w:hAnsi="Times New Roman" w:cs="Times New Roman"/>
          <w:sz w:val="24"/>
        </w:rPr>
        <w:t xml:space="preserve">based.  For parking cash out, the model rule would require that, when a parking subsidy is provided, an equivalently-valued subsidy for those who do not drive to and park at work also be offered or the parking subsidy loses its tax-exempt status at the state level.  States would be required to </w:t>
      </w:r>
      <w:r w:rsidR="00DD608C">
        <w:rPr>
          <w:rFonts w:ascii="Times New Roman" w:hAnsi="Times New Roman" w:cs="Times New Roman"/>
          <w:sz w:val="24"/>
        </w:rPr>
        <w:t xml:space="preserve">demonstrate to </w:t>
      </w:r>
      <w:r w:rsidRPr="001C492E">
        <w:rPr>
          <w:rFonts w:ascii="Times New Roman" w:hAnsi="Times New Roman" w:cs="Times New Roman"/>
          <w:sz w:val="24"/>
        </w:rPr>
        <w:t xml:space="preserve">TCI that the design of their cash-out requirements would lead to average cash-out values of at least $121 per space per month, or one-half the $242 required to recover the costs of providing and maintaining a space within a suburban above-ground two-story parking structure (Howe &amp; George 2014).  </w:t>
      </w:r>
    </w:p>
    <w:p w14:paraId="5E337F55" w14:textId="1C51B90E" w:rsidR="00331427" w:rsidRPr="00331427" w:rsidRDefault="00331427" w:rsidP="00331427">
      <w:pPr>
        <w:rPr>
          <w:rFonts w:ascii="Times New Roman" w:hAnsi="Times New Roman" w:cs="Times New Roman"/>
          <w:sz w:val="24"/>
        </w:rPr>
      </w:pPr>
      <w:r w:rsidRPr="001C492E">
        <w:rPr>
          <w:rFonts w:ascii="Times New Roman" w:hAnsi="Times New Roman" w:cs="Times New Roman"/>
          <w:sz w:val="24"/>
        </w:rPr>
        <w:t>For VMT fees replacing sales taxes on newly purchased vehicles (the third component of the transportation price-shifting policy bundle), the model rule would require that state law be amended to take the population-weighted combined state/local sales</w:t>
      </w:r>
      <w:r w:rsidRPr="00331427">
        <w:rPr>
          <w:rFonts w:ascii="Times New Roman" w:hAnsi="Times New Roman" w:cs="Times New Roman"/>
          <w:sz w:val="24"/>
        </w:rPr>
        <w:t xml:space="preserve"> taxes that are charged on newly purchased vehicles and convert them to mileage-based taxes charged over a three-year </w:t>
      </w:r>
      <w:r w:rsidRPr="00331427">
        <w:rPr>
          <w:rFonts w:ascii="Times New Roman" w:hAnsi="Times New Roman" w:cs="Times New Roman"/>
          <w:sz w:val="24"/>
        </w:rPr>
        <w:lastRenderedPageBreak/>
        <w:t xml:space="preserve">period, set at a level designed to raise the same amount of revenue.  (Many states already collect and rebate local sales taxes for vehicle purchases.) </w:t>
      </w:r>
    </w:p>
    <w:p w14:paraId="03134606" w14:textId="4CD29754" w:rsidR="00FB19B1" w:rsidRPr="00E91612" w:rsidRDefault="00700C04" w:rsidP="00C32F94">
      <w:pPr>
        <w:rPr>
          <w:rFonts w:ascii="Times New Roman" w:hAnsi="Times New Roman" w:cs="Times New Roman"/>
          <w:sz w:val="24"/>
        </w:rPr>
      </w:pPr>
      <w:r>
        <w:rPr>
          <w:rFonts w:ascii="Times New Roman" w:hAnsi="Times New Roman" w:cs="Times New Roman"/>
          <w:sz w:val="24"/>
        </w:rPr>
        <w:t>S</w:t>
      </w:r>
      <w:r w:rsidR="00331427" w:rsidRPr="00331427">
        <w:rPr>
          <w:rFonts w:ascii="Times New Roman" w:hAnsi="Times New Roman" w:cs="Times New Roman"/>
          <w:sz w:val="24"/>
        </w:rPr>
        <w:t xml:space="preserve">tates that implement all </w:t>
      </w:r>
      <w:r w:rsidR="00FF0D37">
        <w:rPr>
          <w:rFonts w:ascii="Times New Roman" w:hAnsi="Times New Roman" w:cs="Times New Roman"/>
          <w:sz w:val="24"/>
        </w:rPr>
        <w:t>of the</w:t>
      </w:r>
      <w:r w:rsidR="00331427" w:rsidRPr="00331427">
        <w:rPr>
          <w:rFonts w:ascii="Times New Roman" w:hAnsi="Times New Roman" w:cs="Times New Roman"/>
          <w:sz w:val="24"/>
        </w:rPr>
        <w:t xml:space="preserve"> transportation price-shifting policies</w:t>
      </w:r>
      <w:r w:rsidR="00FF0D37">
        <w:rPr>
          <w:rFonts w:ascii="Times New Roman" w:hAnsi="Times New Roman" w:cs="Times New Roman"/>
          <w:sz w:val="24"/>
        </w:rPr>
        <w:t>,</w:t>
      </w:r>
      <w:r w:rsidR="00331427" w:rsidRPr="00331427">
        <w:rPr>
          <w:rFonts w:ascii="Times New Roman" w:hAnsi="Times New Roman" w:cs="Times New Roman"/>
          <w:sz w:val="24"/>
        </w:rPr>
        <w:t xml:space="preserve"> as specified</w:t>
      </w:r>
      <w:r>
        <w:rPr>
          <w:rFonts w:ascii="Times New Roman" w:hAnsi="Times New Roman" w:cs="Times New Roman"/>
          <w:sz w:val="24"/>
        </w:rPr>
        <w:t xml:space="preserve"> as an alternative compliance path in the model rule</w:t>
      </w:r>
      <w:r w:rsidR="00FF0D37">
        <w:rPr>
          <w:rFonts w:ascii="Times New Roman" w:hAnsi="Times New Roman" w:cs="Times New Roman"/>
          <w:sz w:val="24"/>
        </w:rPr>
        <w:t>,</w:t>
      </w:r>
      <w:r>
        <w:rPr>
          <w:rFonts w:ascii="Times New Roman" w:hAnsi="Times New Roman" w:cs="Times New Roman"/>
          <w:sz w:val="24"/>
        </w:rPr>
        <w:t xml:space="preserve"> sh</w:t>
      </w:r>
      <w:r w:rsidR="00331427" w:rsidRPr="00331427">
        <w:rPr>
          <w:rFonts w:ascii="Times New Roman" w:hAnsi="Times New Roman" w:cs="Times New Roman"/>
          <w:sz w:val="24"/>
        </w:rPr>
        <w:t xml:space="preserve">ould be presumed </w:t>
      </w:r>
      <w:r w:rsidR="00331427">
        <w:rPr>
          <w:rFonts w:ascii="Times New Roman" w:hAnsi="Times New Roman" w:cs="Times New Roman"/>
          <w:sz w:val="24"/>
        </w:rPr>
        <w:t>to be TCI</w:t>
      </w:r>
      <w:r w:rsidR="00FF0D37">
        <w:rPr>
          <w:rFonts w:ascii="Times New Roman" w:hAnsi="Times New Roman" w:cs="Times New Roman"/>
          <w:sz w:val="24"/>
        </w:rPr>
        <w:t xml:space="preserve"> compliant</w:t>
      </w:r>
      <w:r w:rsidR="00331427" w:rsidRPr="00331427">
        <w:rPr>
          <w:rFonts w:ascii="Times New Roman" w:hAnsi="Times New Roman" w:cs="Times New Roman"/>
          <w:sz w:val="24"/>
        </w:rPr>
        <w:t xml:space="preserve">.  States that adopt only one or two </w:t>
      </w:r>
      <w:r>
        <w:rPr>
          <w:rFonts w:ascii="Times New Roman" w:hAnsi="Times New Roman" w:cs="Times New Roman"/>
          <w:sz w:val="24"/>
        </w:rPr>
        <w:t xml:space="preserve">of the three </w:t>
      </w:r>
      <w:r w:rsidRPr="00331427">
        <w:rPr>
          <w:rFonts w:ascii="Times New Roman" w:hAnsi="Times New Roman" w:cs="Times New Roman"/>
          <w:sz w:val="24"/>
        </w:rPr>
        <w:t>price-shifting policies</w:t>
      </w:r>
      <w:r w:rsidRPr="00331427">
        <w:rPr>
          <w:rFonts w:ascii="Times New Roman" w:hAnsi="Times New Roman" w:cs="Times New Roman"/>
          <w:sz w:val="24"/>
        </w:rPr>
        <w:t xml:space="preserve"> </w:t>
      </w:r>
      <w:r w:rsidR="00331427" w:rsidRPr="00331427">
        <w:rPr>
          <w:rFonts w:ascii="Times New Roman" w:hAnsi="Times New Roman" w:cs="Times New Roman"/>
          <w:sz w:val="24"/>
        </w:rPr>
        <w:t xml:space="preserve">could rely on </w:t>
      </w:r>
      <w:r w:rsidR="00331427">
        <w:rPr>
          <w:rFonts w:ascii="Times New Roman" w:hAnsi="Times New Roman" w:cs="Times New Roman"/>
          <w:sz w:val="24"/>
        </w:rPr>
        <w:t xml:space="preserve">TCI’s </w:t>
      </w:r>
      <w:r>
        <w:rPr>
          <w:rFonts w:ascii="Times New Roman" w:hAnsi="Times New Roman" w:cs="Times New Roman"/>
          <w:sz w:val="24"/>
        </w:rPr>
        <w:t>emission</w:t>
      </w:r>
      <w:bookmarkStart w:id="0" w:name="_GoBack"/>
      <w:bookmarkEnd w:id="0"/>
      <w:r w:rsidR="00331427" w:rsidRPr="00331427">
        <w:rPr>
          <w:rFonts w:ascii="Times New Roman" w:hAnsi="Times New Roman" w:cs="Times New Roman"/>
          <w:sz w:val="24"/>
        </w:rPr>
        <w:t xml:space="preserve"> projections related to those component parts of the policy bundle, with additional state remedies required only to make up the difference.</w:t>
      </w:r>
      <w:r w:rsidR="00DD608C">
        <w:rPr>
          <w:rFonts w:ascii="Times New Roman" w:hAnsi="Times New Roman" w:cs="Times New Roman"/>
          <w:sz w:val="24"/>
        </w:rPr>
        <w:t xml:space="preserve">  An additional state remedy could be a transportation fuels cap-and-trade with such a system no longer bearing nearly as significant a burden or roll-back risk of failure because transportation price shifting would allow for significantly less of a fuel price increase to achieve emission reduction goals.</w:t>
      </w:r>
      <w:r w:rsidR="00331427" w:rsidRPr="00331427">
        <w:rPr>
          <w:rFonts w:ascii="Times New Roman" w:hAnsi="Times New Roman" w:cs="Times New Roman"/>
          <w:sz w:val="24"/>
        </w:rPr>
        <w:t xml:space="preserve"> </w:t>
      </w:r>
    </w:p>
    <w:sectPr w:rsidR="00FB19B1" w:rsidRPr="00E9161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E1FF2" w14:textId="77777777" w:rsidR="00A94BCC" w:rsidRDefault="00A94BCC" w:rsidP="004A0EBF">
      <w:pPr>
        <w:spacing w:after="0" w:line="240" w:lineRule="auto"/>
      </w:pPr>
      <w:r>
        <w:separator/>
      </w:r>
    </w:p>
  </w:endnote>
  <w:endnote w:type="continuationSeparator" w:id="0">
    <w:p w14:paraId="1D1F969A" w14:textId="77777777" w:rsidR="00A94BCC" w:rsidRDefault="00A94BCC" w:rsidP="004A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999607"/>
      <w:docPartObj>
        <w:docPartGallery w:val="Page Numbers (Bottom of Page)"/>
        <w:docPartUnique/>
      </w:docPartObj>
    </w:sdtPr>
    <w:sdtEndPr>
      <w:rPr>
        <w:noProof/>
      </w:rPr>
    </w:sdtEndPr>
    <w:sdtContent>
      <w:p w14:paraId="5D4BC9D1" w14:textId="672C2863" w:rsidR="003F69CB" w:rsidRDefault="003F69CB">
        <w:pPr>
          <w:pStyle w:val="Footer"/>
          <w:jc w:val="right"/>
        </w:pPr>
        <w:r>
          <w:fldChar w:fldCharType="begin"/>
        </w:r>
        <w:r>
          <w:instrText xml:space="preserve"> PAGE   \* MERGEFORMAT </w:instrText>
        </w:r>
        <w:r>
          <w:fldChar w:fldCharType="separate"/>
        </w:r>
        <w:r w:rsidR="00700C04">
          <w:rPr>
            <w:noProof/>
          </w:rPr>
          <w:t>8</w:t>
        </w:r>
        <w:r>
          <w:rPr>
            <w:noProof/>
          </w:rPr>
          <w:fldChar w:fldCharType="end"/>
        </w:r>
      </w:p>
    </w:sdtContent>
  </w:sdt>
  <w:p w14:paraId="2B7CB804" w14:textId="77777777" w:rsidR="003F69CB" w:rsidRDefault="003F6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9269E" w14:textId="77777777" w:rsidR="00A94BCC" w:rsidRDefault="00A94BCC" w:rsidP="004A0EBF">
      <w:pPr>
        <w:spacing w:after="0" w:line="240" w:lineRule="auto"/>
      </w:pPr>
      <w:r>
        <w:separator/>
      </w:r>
    </w:p>
  </w:footnote>
  <w:footnote w:type="continuationSeparator" w:id="0">
    <w:p w14:paraId="382A310A" w14:textId="77777777" w:rsidR="00A94BCC" w:rsidRDefault="00A94BCC" w:rsidP="004A0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B7523"/>
    <w:multiLevelType w:val="hybridMultilevel"/>
    <w:tmpl w:val="14B85614"/>
    <w:lvl w:ilvl="0" w:tplc="D84C7574">
      <w:start w:val="1"/>
      <w:numFmt w:val="bullet"/>
      <w:lvlText w:val="»"/>
      <w:lvlJc w:val="left"/>
      <w:pPr>
        <w:tabs>
          <w:tab w:val="num" w:pos="720"/>
        </w:tabs>
        <w:ind w:left="720" w:hanging="360"/>
      </w:pPr>
      <w:rPr>
        <w:rFonts w:ascii="Gill Sans MT" w:hAnsi="Gill Sans MT" w:hint="default"/>
      </w:rPr>
    </w:lvl>
    <w:lvl w:ilvl="1" w:tplc="5B427D24" w:tentative="1">
      <w:start w:val="1"/>
      <w:numFmt w:val="bullet"/>
      <w:lvlText w:val="»"/>
      <w:lvlJc w:val="left"/>
      <w:pPr>
        <w:tabs>
          <w:tab w:val="num" w:pos="1440"/>
        </w:tabs>
        <w:ind w:left="1440" w:hanging="360"/>
      </w:pPr>
      <w:rPr>
        <w:rFonts w:ascii="Gill Sans MT" w:hAnsi="Gill Sans MT" w:hint="default"/>
      </w:rPr>
    </w:lvl>
    <w:lvl w:ilvl="2" w:tplc="68C81E46" w:tentative="1">
      <w:start w:val="1"/>
      <w:numFmt w:val="bullet"/>
      <w:lvlText w:val="»"/>
      <w:lvlJc w:val="left"/>
      <w:pPr>
        <w:tabs>
          <w:tab w:val="num" w:pos="2160"/>
        </w:tabs>
        <w:ind w:left="2160" w:hanging="360"/>
      </w:pPr>
      <w:rPr>
        <w:rFonts w:ascii="Gill Sans MT" w:hAnsi="Gill Sans MT" w:hint="default"/>
      </w:rPr>
    </w:lvl>
    <w:lvl w:ilvl="3" w:tplc="EC8C4F9E" w:tentative="1">
      <w:start w:val="1"/>
      <w:numFmt w:val="bullet"/>
      <w:lvlText w:val="»"/>
      <w:lvlJc w:val="left"/>
      <w:pPr>
        <w:tabs>
          <w:tab w:val="num" w:pos="2880"/>
        </w:tabs>
        <w:ind w:left="2880" w:hanging="360"/>
      </w:pPr>
      <w:rPr>
        <w:rFonts w:ascii="Gill Sans MT" w:hAnsi="Gill Sans MT" w:hint="default"/>
      </w:rPr>
    </w:lvl>
    <w:lvl w:ilvl="4" w:tplc="CD860762" w:tentative="1">
      <w:start w:val="1"/>
      <w:numFmt w:val="bullet"/>
      <w:lvlText w:val="»"/>
      <w:lvlJc w:val="left"/>
      <w:pPr>
        <w:tabs>
          <w:tab w:val="num" w:pos="3600"/>
        </w:tabs>
        <w:ind w:left="3600" w:hanging="360"/>
      </w:pPr>
      <w:rPr>
        <w:rFonts w:ascii="Gill Sans MT" w:hAnsi="Gill Sans MT" w:hint="default"/>
      </w:rPr>
    </w:lvl>
    <w:lvl w:ilvl="5" w:tplc="8FEE201E" w:tentative="1">
      <w:start w:val="1"/>
      <w:numFmt w:val="bullet"/>
      <w:lvlText w:val="»"/>
      <w:lvlJc w:val="left"/>
      <w:pPr>
        <w:tabs>
          <w:tab w:val="num" w:pos="4320"/>
        </w:tabs>
        <w:ind w:left="4320" w:hanging="360"/>
      </w:pPr>
      <w:rPr>
        <w:rFonts w:ascii="Gill Sans MT" w:hAnsi="Gill Sans MT" w:hint="default"/>
      </w:rPr>
    </w:lvl>
    <w:lvl w:ilvl="6" w:tplc="6EE24D84" w:tentative="1">
      <w:start w:val="1"/>
      <w:numFmt w:val="bullet"/>
      <w:lvlText w:val="»"/>
      <w:lvlJc w:val="left"/>
      <w:pPr>
        <w:tabs>
          <w:tab w:val="num" w:pos="5040"/>
        </w:tabs>
        <w:ind w:left="5040" w:hanging="360"/>
      </w:pPr>
      <w:rPr>
        <w:rFonts w:ascii="Gill Sans MT" w:hAnsi="Gill Sans MT" w:hint="default"/>
      </w:rPr>
    </w:lvl>
    <w:lvl w:ilvl="7" w:tplc="3A44A304" w:tentative="1">
      <w:start w:val="1"/>
      <w:numFmt w:val="bullet"/>
      <w:lvlText w:val="»"/>
      <w:lvlJc w:val="left"/>
      <w:pPr>
        <w:tabs>
          <w:tab w:val="num" w:pos="5760"/>
        </w:tabs>
        <w:ind w:left="5760" w:hanging="360"/>
      </w:pPr>
      <w:rPr>
        <w:rFonts w:ascii="Gill Sans MT" w:hAnsi="Gill Sans MT" w:hint="default"/>
      </w:rPr>
    </w:lvl>
    <w:lvl w:ilvl="8" w:tplc="3A620C5C" w:tentative="1">
      <w:start w:val="1"/>
      <w:numFmt w:val="bullet"/>
      <w:lvlText w:val="»"/>
      <w:lvlJc w:val="left"/>
      <w:pPr>
        <w:tabs>
          <w:tab w:val="num" w:pos="6480"/>
        </w:tabs>
        <w:ind w:left="6480" w:hanging="360"/>
      </w:pPr>
      <w:rPr>
        <w:rFonts w:ascii="Gill Sans MT" w:hAnsi="Gill Sans MT" w:hint="default"/>
      </w:rPr>
    </w:lvl>
  </w:abstractNum>
  <w:abstractNum w:abstractNumId="1" w15:restartNumberingAfterBreak="0">
    <w:nsid w:val="69CB546F"/>
    <w:multiLevelType w:val="hybridMultilevel"/>
    <w:tmpl w:val="C09EEBBE"/>
    <w:lvl w:ilvl="0" w:tplc="90FA6798">
      <w:start w:val="1"/>
      <w:numFmt w:val="bullet"/>
      <w:lvlText w:val="»"/>
      <w:lvlJc w:val="left"/>
      <w:pPr>
        <w:tabs>
          <w:tab w:val="num" w:pos="720"/>
        </w:tabs>
        <w:ind w:left="720" w:hanging="360"/>
      </w:pPr>
      <w:rPr>
        <w:rFonts w:ascii="Gill Sans MT" w:hAnsi="Gill Sans MT" w:hint="default"/>
      </w:rPr>
    </w:lvl>
    <w:lvl w:ilvl="1" w:tplc="C004FAF4" w:tentative="1">
      <w:start w:val="1"/>
      <w:numFmt w:val="bullet"/>
      <w:lvlText w:val="»"/>
      <w:lvlJc w:val="left"/>
      <w:pPr>
        <w:tabs>
          <w:tab w:val="num" w:pos="1440"/>
        </w:tabs>
        <w:ind w:left="1440" w:hanging="360"/>
      </w:pPr>
      <w:rPr>
        <w:rFonts w:ascii="Gill Sans MT" w:hAnsi="Gill Sans MT" w:hint="default"/>
      </w:rPr>
    </w:lvl>
    <w:lvl w:ilvl="2" w:tplc="E752F7DA" w:tentative="1">
      <w:start w:val="1"/>
      <w:numFmt w:val="bullet"/>
      <w:lvlText w:val="»"/>
      <w:lvlJc w:val="left"/>
      <w:pPr>
        <w:tabs>
          <w:tab w:val="num" w:pos="2160"/>
        </w:tabs>
        <w:ind w:left="2160" w:hanging="360"/>
      </w:pPr>
      <w:rPr>
        <w:rFonts w:ascii="Gill Sans MT" w:hAnsi="Gill Sans MT" w:hint="default"/>
      </w:rPr>
    </w:lvl>
    <w:lvl w:ilvl="3" w:tplc="FCA4BA5A" w:tentative="1">
      <w:start w:val="1"/>
      <w:numFmt w:val="bullet"/>
      <w:lvlText w:val="»"/>
      <w:lvlJc w:val="left"/>
      <w:pPr>
        <w:tabs>
          <w:tab w:val="num" w:pos="2880"/>
        </w:tabs>
        <w:ind w:left="2880" w:hanging="360"/>
      </w:pPr>
      <w:rPr>
        <w:rFonts w:ascii="Gill Sans MT" w:hAnsi="Gill Sans MT" w:hint="default"/>
      </w:rPr>
    </w:lvl>
    <w:lvl w:ilvl="4" w:tplc="87DC8048" w:tentative="1">
      <w:start w:val="1"/>
      <w:numFmt w:val="bullet"/>
      <w:lvlText w:val="»"/>
      <w:lvlJc w:val="left"/>
      <w:pPr>
        <w:tabs>
          <w:tab w:val="num" w:pos="3600"/>
        </w:tabs>
        <w:ind w:left="3600" w:hanging="360"/>
      </w:pPr>
      <w:rPr>
        <w:rFonts w:ascii="Gill Sans MT" w:hAnsi="Gill Sans MT" w:hint="default"/>
      </w:rPr>
    </w:lvl>
    <w:lvl w:ilvl="5" w:tplc="ABAEB1C8" w:tentative="1">
      <w:start w:val="1"/>
      <w:numFmt w:val="bullet"/>
      <w:lvlText w:val="»"/>
      <w:lvlJc w:val="left"/>
      <w:pPr>
        <w:tabs>
          <w:tab w:val="num" w:pos="4320"/>
        </w:tabs>
        <w:ind w:left="4320" w:hanging="360"/>
      </w:pPr>
      <w:rPr>
        <w:rFonts w:ascii="Gill Sans MT" w:hAnsi="Gill Sans MT" w:hint="default"/>
      </w:rPr>
    </w:lvl>
    <w:lvl w:ilvl="6" w:tplc="D24C45FE" w:tentative="1">
      <w:start w:val="1"/>
      <w:numFmt w:val="bullet"/>
      <w:lvlText w:val="»"/>
      <w:lvlJc w:val="left"/>
      <w:pPr>
        <w:tabs>
          <w:tab w:val="num" w:pos="5040"/>
        </w:tabs>
        <w:ind w:left="5040" w:hanging="360"/>
      </w:pPr>
      <w:rPr>
        <w:rFonts w:ascii="Gill Sans MT" w:hAnsi="Gill Sans MT" w:hint="default"/>
      </w:rPr>
    </w:lvl>
    <w:lvl w:ilvl="7" w:tplc="81B46D80" w:tentative="1">
      <w:start w:val="1"/>
      <w:numFmt w:val="bullet"/>
      <w:lvlText w:val="»"/>
      <w:lvlJc w:val="left"/>
      <w:pPr>
        <w:tabs>
          <w:tab w:val="num" w:pos="5760"/>
        </w:tabs>
        <w:ind w:left="5760" w:hanging="360"/>
      </w:pPr>
      <w:rPr>
        <w:rFonts w:ascii="Gill Sans MT" w:hAnsi="Gill Sans MT" w:hint="default"/>
      </w:rPr>
    </w:lvl>
    <w:lvl w:ilvl="8" w:tplc="36363AC6" w:tentative="1">
      <w:start w:val="1"/>
      <w:numFmt w:val="bullet"/>
      <w:lvlText w:val="»"/>
      <w:lvlJc w:val="left"/>
      <w:pPr>
        <w:tabs>
          <w:tab w:val="num" w:pos="6480"/>
        </w:tabs>
        <w:ind w:left="6480" w:hanging="360"/>
      </w:pPr>
      <w:rPr>
        <w:rFonts w:ascii="Gill Sans MT" w:hAnsi="Gill Sans MT"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64"/>
    <w:rsid w:val="00011582"/>
    <w:rsid w:val="00065739"/>
    <w:rsid w:val="0009036E"/>
    <w:rsid w:val="000A384B"/>
    <w:rsid w:val="000A59CB"/>
    <w:rsid w:val="000B3248"/>
    <w:rsid w:val="000D27A0"/>
    <w:rsid w:val="000D6F1F"/>
    <w:rsid w:val="000E2183"/>
    <w:rsid w:val="0010096F"/>
    <w:rsid w:val="0010524E"/>
    <w:rsid w:val="0015495C"/>
    <w:rsid w:val="001551E2"/>
    <w:rsid w:val="001773B8"/>
    <w:rsid w:val="00180831"/>
    <w:rsid w:val="00181254"/>
    <w:rsid w:val="00183DC5"/>
    <w:rsid w:val="001877F8"/>
    <w:rsid w:val="00192EE8"/>
    <w:rsid w:val="001A04B4"/>
    <w:rsid w:val="001B20A6"/>
    <w:rsid w:val="001C492E"/>
    <w:rsid w:val="002011C2"/>
    <w:rsid w:val="002041EC"/>
    <w:rsid w:val="002932D1"/>
    <w:rsid w:val="002B6778"/>
    <w:rsid w:val="002C5932"/>
    <w:rsid w:val="002E2420"/>
    <w:rsid w:val="002E5375"/>
    <w:rsid w:val="002F5615"/>
    <w:rsid w:val="003161C4"/>
    <w:rsid w:val="00324FD7"/>
    <w:rsid w:val="00331427"/>
    <w:rsid w:val="00354E79"/>
    <w:rsid w:val="00373316"/>
    <w:rsid w:val="003A2E5D"/>
    <w:rsid w:val="003F69CB"/>
    <w:rsid w:val="0043085C"/>
    <w:rsid w:val="004453A0"/>
    <w:rsid w:val="00457A9D"/>
    <w:rsid w:val="00460EBD"/>
    <w:rsid w:val="004733B6"/>
    <w:rsid w:val="00494F0F"/>
    <w:rsid w:val="0049767A"/>
    <w:rsid w:val="004A0EBF"/>
    <w:rsid w:val="004B17CF"/>
    <w:rsid w:val="004F0CA6"/>
    <w:rsid w:val="004F4429"/>
    <w:rsid w:val="004F592D"/>
    <w:rsid w:val="00537FAD"/>
    <w:rsid w:val="00561CD4"/>
    <w:rsid w:val="005C64ED"/>
    <w:rsid w:val="005E5A7D"/>
    <w:rsid w:val="005F018E"/>
    <w:rsid w:val="005F08DB"/>
    <w:rsid w:val="00611D2E"/>
    <w:rsid w:val="00613A16"/>
    <w:rsid w:val="006354B7"/>
    <w:rsid w:val="00646919"/>
    <w:rsid w:val="00656B68"/>
    <w:rsid w:val="00667799"/>
    <w:rsid w:val="006817B4"/>
    <w:rsid w:val="006966BA"/>
    <w:rsid w:val="006A4BDA"/>
    <w:rsid w:val="00700949"/>
    <w:rsid w:val="00700C04"/>
    <w:rsid w:val="007352A9"/>
    <w:rsid w:val="007616C4"/>
    <w:rsid w:val="00766CDF"/>
    <w:rsid w:val="007675C7"/>
    <w:rsid w:val="007704D0"/>
    <w:rsid w:val="00773D98"/>
    <w:rsid w:val="007A15DB"/>
    <w:rsid w:val="007E5200"/>
    <w:rsid w:val="007F3C91"/>
    <w:rsid w:val="008132F9"/>
    <w:rsid w:val="00822394"/>
    <w:rsid w:val="0084440D"/>
    <w:rsid w:val="00876FF0"/>
    <w:rsid w:val="008E377E"/>
    <w:rsid w:val="008E6030"/>
    <w:rsid w:val="008F475D"/>
    <w:rsid w:val="009065E4"/>
    <w:rsid w:val="00927072"/>
    <w:rsid w:val="0094386B"/>
    <w:rsid w:val="0095340B"/>
    <w:rsid w:val="009614EB"/>
    <w:rsid w:val="009771AC"/>
    <w:rsid w:val="00981528"/>
    <w:rsid w:val="009A0A4D"/>
    <w:rsid w:val="009A5264"/>
    <w:rsid w:val="009D55F4"/>
    <w:rsid w:val="009E4F44"/>
    <w:rsid w:val="009E4F82"/>
    <w:rsid w:val="00A139F7"/>
    <w:rsid w:val="00A17EE1"/>
    <w:rsid w:val="00A32BD6"/>
    <w:rsid w:val="00A35814"/>
    <w:rsid w:val="00A41A6C"/>
    <w:rsid w:val="00A554D6"/>
    <w:rsid w:val="00A5793E"/>
    <w:rsid w:val="00A759DC"/>
    <w:rsid w:val="00A76FC0"/>
    <w:rsid w:val="00A94BCC"/>
    <w:rsid w:val="00AB3489"/>
    <w:rsid w:val="00AD09FB"/>
    <w:rsid w:val="00AF57FD"/>
    <w:rsid w:val="00B26FB4"/>
    <w:rsid w:val="00B81E8C"/>
    <w:rsid w:val="00B825F2"/>
    <w:rsid w:val="00B96A5A"/>
    <w:rsid w:val="00BA319D"/>
    <w:rsid w:val="00BB09BF"/>
    <w:rsid w:val="00BC2F66"/>
    <w:rsid w:val="00C31516"/>
    <w:rsid w:val="00C32F94"/>
    <w:rsid w:val="00C35F62"/>
    <w:rsid w:val="00C43580"/>
    <w:rsid w:val="00C76490"/>
    <w:rsid w:val="00C831A1"/>
    <w:rsid w:val="00C8649E"/>
    <w:rsid w:val="00C97D14"/>
    <w:rsid w:val="00CB2021"/>
    <w:rsid w:val="00CC0AF6"/>
    <w:rsid w:val="00CE6ABB"/>
    <w:rsid w:val="00CF69E4"/>
    <w:rsid w:val="00CF6CEC"/>
    <w:rsid w:val="00D36D51"/>
    <w:rsid w:val="00D63411"/>
    <w:rsid w:val="00D648B2"/>
    <w:rsid w:val="00D718C1"/>
    <w:rsid w:val="00D73C44"/>
    <w:rsid w:val="00D83406"/>
    <w:rsid w:val="00D84C64"/>
    <w:rsid w:val="00D92EDD"/>
    <w:rsid w:val="00DA4139"/>
    <w:rsid w:val="00DD608C"/>
    <w:rsid w:val="00E02FD3"/>
    <w:rsid w:val="00E2471D"/>
    <w:rsid w:val="00E3008D"/>
    <w:rsid w:val="00E4232B"/>
    <w:rsid w:val="00E435E7"/>
    <w:rsid w:val="00E5185B"/>
    <w:rsid w:val="00E54B07"/>
    <w:rsid w:val="00E5753D"/>
    <w:rsid w:val="00E612A8"/>
    <w:rsid w:val="00E654C6"/>
    <w:rsid w:val="00E8333A"/>
    <w:rsid w:val="00E91612"/>
    <w:rsid w:val="00E92452"/>
    <w:rsid w:val="00EC7930"/>
    <w:rsid w:val="00EC794C"/>
    <w:rsid w:val="00F3057B"/>
    <w:rsid w:val="00F45F6F"/>
    <w:rsid w:val="00F469EF"/>
    <w:rsid w:val="00F54FC7"/>
    <w:rsid w:val="00F57A19"/>
    <w:rsid w:val="00FB19B1"/>
    <w:rsid w:val="00FC313F"/>
    <w:rsid w:val="00FC429B"/>
    <w:rsid w:val="00FC6222"/>
    <w:rsid w:val="00FD3A25"/>
    <w:rsid w:val="00FD3A89"/>
    <w:rsid w:val="00FD568D"/>
    <w:rsid w:val="00FF024F"/>
    <w:rsid w:val="00FF0D37"/>
    <w:rsid w:val="00FF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53E65"/>
  <w15:chartTrackingRefBased/>
  <w15:docId w15:val="{7D8746DE-8C69-4710-AC7B-BD35D2AF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EBF"/>
    <w:rPr>
      <w:rFonts w:ascii="Segoe UI" w:hAnsi="Segoe UI" w:cs="Segoe UI"/>
      <w:sz w:val="18"/>
      <w:szCs w:val="18"/>
    </w:rPr>
  </w:style>
  <w:style w:type="character" w:styleId="Hyperlink">
    <w:name w:val="Hyperlink"/>
    <w:basedOn w:val="DefaultParagraphFont"/>
    <w:uiPriority w:val="99"/>
    <w:unhideWhenUsed/>
    <w:rsid w:val="004A0EBF"/>
    <w:rPr>
      <w:color w:val="0563C1" w:themeColor="hyperlink"/>
      <w:u w:val="single"/>
    </w:rPr>
  </w:style>
  <w:style w:type="character" w:customStyle="1" w:styleId="UnresolvedMention1">
    <w:name w:val="Unresolved Mention1"/>
    <w:basedOn w:val="DefaultParagraphFont"/>
    <w:uiPriority w:val="99"/>
    <w:semiHidden/>
    <w:unhideWhenUsed/>
    <w:rsid w:val="004A0EBF"/>
    <w:rPr>
      <w:color w:val="605E5C"/>
      <w:shd w:val="clear" w:color="auto" w:fill="E1DFDD"/>
    </w:rPr>
  </w:style>
  <w:style w:type="paragraph" w:styleId="BodyText">
    <w:name w:val="Body Text"/>
    <w:aliases w:val="bt"/>
    <w:basedOn w:val="Normal"/>
    <w:next w:val="Normal"/>
    <w:link w:val="BodyTextChar"/>
    <w:rsid w:val="004A0EBF"/>
    <w:pPr>
      <w:spacing w:after="0" w:line="240" w:lineRule="auto"/>
      <w:ind w:firstLine="720"/>
    </w:pPr>
    <w:rPr>
      <w:rFonts w:eastAsia="Times New Roman" w:cs="Times New Roman"/>
      <w:sz w:val="20"/>
      <w:szCs w:val="24"/>
    </w:rPr>
  </w:style>
  <w:style w:type="character" w:customStyle="1" w:styleId="BodyTextChar">
    <w:name w:val="Body Text Char"/>
    <w:aliases w:val="bt Char"/>
    <w:basedOn w:val="DefaultParagraphFont"/>
    <w:link w:val="BodyText"/>
    <w:rsid w:val="004A0EBF"/>
    <w:rPr>
      <w:rFonts w:eastAsia="Times New Roman" w:cs="Times New Roman"/>
      <w:sz w:val="20"/>
      <w:szCs w:val="24"/>
    </w:rPr>
  </w:style>
  <w:style w:type="paragraph" w:styleId="FootnoteText">
    <w:name w:val="footnote text"/>
    <w:basedOn w:val="Normal"/>
    <w:link w:val="FootnoteTextChar"/>
    <w:uiPriority w:val="99"/>
    <w:semiHidden/>
    <w:unhideWhenUsed/>
    <w:rsid w:val="004A0E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0EBF"/>
    <w:rPr>
      <w:sz w:val="20"/>
      <w:szCs w:val="20"/>
    </w:rPr>
  </w:style>
  <w:style w:type="character" w:styleId="FootnoteReference">
    <w:name w:val="footnote reference"/>
    <w:basedOn w:val="DefaultParagraphFont"/>
    <w:uiPriority w:val="99"/>
    <w:semiHidden/>
    <w:unhideWhenUsed/>
    <w:rsid w:val="004A0EBF"/>
    <w:rPr>
      <w:vertAlign w:val="superscript"/>
    </w:rPr>
  </w:style>
  <w:style w:type="paragraph" w:styleId="ListParagraph">
    <w:name w:val="List Paragraph"/>
    <w:basedOn w:val="Normal"/>
    <w:uiPriority w:val="34"/>
    <w:qFormat/>
    <w:rsid w:val="000D6F1F"/>
    <w:pPr>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675C7"/>
    <w:rPr>
      <w:color w:val="605E5C"/>
      <w:shd w:val="clear" w:color="auto" w:fill="E1DFDD"/>
    </w:rPr>
  </w:style>
  <w:style w:type="character" w:styleId="HTMLTypewriter">
    <w:name w:val="HTML Typewriter"/>
    <w:rsid w:val="0084440D"/>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D63411"/>
    <w:rPr>
      <w:sz w:val="16"/>
      <w:szCs w:val="16"/>
    </w:rPr>
  </w:style>
  <w:style w:type="paragraph" w:styleId="CommentText">
    <w:name w:val="annotation text"/>
    <w:basedOn w:val="Normal"/>
    <w:link w:val="CommentTextChar"/>
    <w:uiPriority w:val="99"/>
    <w:semiHidden/>
    <w:unhideWhenUsed/>
    <w:rsid w:val="00D63411"/>
    <w:pPr>
      <w:spacing w:line="240" w:lineRule="auto"/>
    </w:pPr>
    <w:rPr>
      <w:sz w:val="20"/>
      <w:szCs w:val="20"/>
    </w:rPr>
  </w:style>
  <w:style w:type="character" w:customStyle="1" w:styleId="CommentTextChar">
    <w:name w:val="Comment Text Char"/>
    <w:basedOn w:val="DefaultParagraphFont"/>
    <w:link w:val="CommentText"/>
    <w:uiPriority w:val="99"/>
    <w:semiHidden/>
    <w:rsid w:val="00D63411"/>
    <w:rPr>
      <w:sz w:val="20"/>
      <w:szCs w:val="20"/>
    </w:rPr>
  </w:style>
  <w:style w:type="paragraph" w:styleId="CommentSubject">
    <w:name w:val="annotation subject"/>
    <w:basedOn w:val="CommentText"/>
    <w:next w:val="CommentText"/>
    <w:link w:val="CommentSubjectChar"/>
    <w:uiPriority w:val="99"/>
    <w:semiHidden/>
    <w:unhideWhenUsed/>
    <w:rsid w:val="00D63411"/>
    <w:rPr>
      <w:b/>
      <w:bCs/>
    </w:rPr>
  </w:style>
  <w:style w:type="character" w:customStyle="1" w:styleId="CommentSubjectChar">
    <w:name w:val="Comment Subject Char"/>
    <w:basedOn w:val="CommentTextChar"/>
    <w:link w:val="CommentSubject"/>
    <w:uiPriority w:val="99"/>
    <w:semiHidden/>
    <w:rsid w:val="00D63411"/>
    <w:rPr>
      <w:b/>
      <w:bCs/>
      <w:sz w:val="20"/>
      <w:szCs w:val="20"/>
    </w:rPr>
  </w:style>
  <w:style w:type="paragraph" w:styleId="Header">
    <w:name w:val="header"/>
    <w:basedOn w:val="Normal"/>
    <w:link w:val="HeaderChar"/>
    <w:uiPriority w:val="99"/>
    <w:unhideWhenUsed/>
    <w:rsid w:val="003F6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9CB"/>
  </w:style>
  <w:style w:type="paragraph" w:styleId="Footer">
    <w:name w:val="footer"/>
    <w:basedOn w:val="Normal"/>
    <w:link w:val="FooterChar"/>
    <w:uiPriority w:val="99"/>
    <w:unhideWhenUsed/>
    <w:rsid w:val="003F6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64599">
      <w:bodyDiv w:val="1"/>
      <w:marLeft w:val="0"/>
      <w:marRight w:val="0"/>
      <w:marTop w:val="0"/>
      <w:marBottom w:val="0"/>
      <w:divBdr>
        <w:top w:val="none" w:sz="0" w:space="0" w:color="auto"/>
        <w:left w:val="none" w:sz="0" w:space="0" w:color="auto"/>
        <w:bottom w:val="none" w:sz="0" w:space="0" w:color="auto"/>
        <w:right w:val="none" w:sz="0" w:space="0" w:color="auto"/>
      </w:divBdr>
      <w:divsChild>
        <w:div w:id="449320135">
          <w:marLeft w:val="547"/>
          <w:marRight w:val="0"/>
          <w:marTop w:val="288"/>
          <w:marBottom w:val="0"/>
          <w:divBdr>
            <w:top w:val="none" w:sz="0" w:space="0" w:color="auto"/>
            <w:left w:val="none" w:sz="0" w:space="0" w:color="auto"/>
            <w:bottom w:val="none" w:sz="0" w:space="0" w:color="auto"/>
            <w:right w:val="none" w:sz="0" w:space="0" w:color="auto"/>
          </w:divBdr>
        </w:div>
      </w:divsChild>
    </w:div>
    <w:div w:id="1162544515">
      <w:bodyDiv w:val="1"/>
      <w:marLeft w:val="0"/>
      <w:marRight w:val="0"/>
      <w:marTop w:val="0"/>
      <w:marBottom w:val="0"/>
      <w:divBdr>
        <w:top w:val="none" w:sz="0" w:space="0" w:color="auto"/>
        <w:left w:val="none" w:sz="0" w:space="0" w:color="auto"/>
        <w:bottom w:val="none" w:sz="0" w:space="0" w:color="auto"/>
        <w:right w:val="none" w:sz="0" w:space="0" w:color="auto"/>
      </w:divBdr>
      <w:divsChild>
        <w:div w:id="791560219">
          <w:marLeft w:val="547"/>
          <w:marRight w:val="0"/>
          <w:marTop w:val="240"/>
          <w:marBottom w:val="0"/>
          <w:divBdr>
            <w:top w:val="none" w:sz="0" w:space="0" w:color="auto"/>
            <w:left w:val="none" w:sz="0" w:space="0" w:color="auto"/>
            <w:bottom w:val="none" w:sz="0" w:space="0" w:color="auto"/>
            <w:right w:val="none" w:sz="0" w:space="0" w:color="auto"/>
          </w:divBdr>
        </w:div>
        <w:div w:id="1434084653">
          <w:marLeft w:val="547"/>
          <w:marRight w:val="0"/>
          <w:marTop w:val="240"/>
          <w:marBottom w:val="0"/>
          <w:divBdr>
            <w:top w:val="none" w:sz="0" w:space="0" w:color="auto"/>
            <w:left w:val="none" w:sz="0" w:space="0" w:color="auto"/>
            <w:bottom w:val="none" w:sz="0" w:space="0" w:color="auto"/>
            <w:right w:val="none" w:sz="0" w:space="0" w:color="auto"/>
          </w:divBdr>
        </w:div>
        <w:div w:id="1762221705">
          <w:marLeft w:val="547"/>
          <w:marRight w:val="0"/>
          <w:marTop w:val="240"/>
          <w:marBottom w:val="0"/>
          <w:divBdr>
            <w:top w:val="none" w:sz="0" w:space="0" w:color="auto"/>
            <w:left w:val="none" w:sz="0" w:space="0" w:color="auto"/>
            <w:bottom w:val="none" w:sz="0" w:space="0" w:color="auto"/>
            <w:right w:val="none" w:sz="0" w:space="0" w:color="auto"/>
          </w:divBdr>
        </w:div>
      </w:divsChild>
    </w:div>
    <w:div w:id="1396587053">
      <w:bodyDiv w:val="1"/>
      <w:marLeft w:val="0"/>
      <w:marRight w:val="0"/>
      <w:marTop w:val="0"/>
      <w:marBottom w:val="0"/>
      <w:divBdr>
        <w:top w:val="none" w:sz="0" w:space="0" w:color="auto"/>
        <w:left w:val="none" w:sz="0" w:space="0" w:color="auto"/>
        <w:bottom w:val="none" w:sz="0" w:space="0" w:color="auto"/>
        <w:right w:val="none" w:sz="0" w:space="0" w:color="auto"/>
      </w:divBdr>
      <w:divsChild>
        <w:div w:id="1952659962">
          <w:marLeft w:val="547"/>
          <w:marRight w:val="0"/>
          <w:marTop w:val="240"/>
          <w:marBottom w:val="0"/>
          <w:divBdr>
            <w:top w:val="none" w:sz="0" w:space="0" w:color="auto"/>
            <w:left w:val="none" w:sz="0" w:space="0" w:color="auto"/>
            <w:bottom w:val="none" w:sz="0" w:space="0" w:color="auto"/>
            <w:right w:val="none" w:sz="0" w:space="0" w:color="auto"/>
          </w:divBdr>
        </w:div>
      </w:divsChild>
    </w:div>
    <w:div w:id="1678460634">
      <w:bodyDiv w:val="1"/>
      <w:marLeft w:val="0"/>
      <w:marRight w:val="0"/>
      <w:marTop w:val="0"/>
      <w:marBottom w:val="0"/>
      <w:divBdr>
        <w:top w:val="none" w:sz="0" w:space="0" w:color="auto"/>
        <w:left w:val="none" w:sz="0" w:space="0" w:color="auto"/>
        <w:bottom w:val="none" w:sz="0" w:space="0" w:color="auto"/>
        <w:right w:val="none" w:sz="0" w:space="0" w:color="auto"/>
      </w:divBdr>
      <w:divsChild>
        <w:div w:id="5208355">
          <w:marLeft w:val="547"/>
          <w:marRight w:val="0"/>
          <w:marTop w:val="2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catp2@ao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ason.org/files/48d0848927c01bf5f340968091de65e9.pdf" TargetMode="External"/><Relationship Id="rId5" Type="http://schemas.openxmlformats.org/officeDocument/2006/relationships/webSettings" Target="webSettings.xml"/><Relationship Id="rId10" Type="http://schemas.openxmlformats.org/officeDocument/2006/relationships/hyperlink" Target="http://www.vtpi.org/G&amp;E_GHG.pdf" TargetMode="External"/><Relationship Id="rId4" Type="http://schemas.openxmlformats.org/officeDocument/2006/relationships/settings" Target="settings.xml"/><Relationship Id="rId9" Type="http://schemas.openxmlformats.org/officeDocument/2006/relationships/hyperlink" Target="https://journals.sagepub.com/doi/abs/10.3141/2530-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B9424-9EBA-4860-A967-47D6A7F1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3814</Words>
  <Characters>21746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Greenberg</dc:creator>
  <cp:keywords/>
  <dc:description/>
  <cp:lastModifiedBy>Greenberg, Allen (FHWA)</cp:lastModifiedBy>
  <cp:revision>7</cp:revision>
  <cp:lastPrinted>2019-11-25T22:54:00Z</cp:lastPrinted>
  <dcterms:created xsi:type="dcterms:W3CDTF">2020-02-28T22:06:00Z</dcterms:created>
  <dcterms:modified xsi:type="dcterms:W3CDTF">2020-02-28T23:12:00Z</dcterms:modified>
</cp:coreProperties>
</file>