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CD" w:rsidRDefault="00E301D7">
      <w:pPr>
        <w:widowControl w:val="0"/>
        <w:spacing w:line="360" w:lineRule="atLeast"/>
        <w:jc w:val="center"/>
        <w:rPr>
          <w:b/>
          <w:i/>
          <w:snapToGrid w:val="0"/>
          <w:sz w:val="36"/>
        </w:rPr>
      </w:pPr>
      <w:r>
        <w:rPr>
          <w:b/>
          <w:i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-21.6pt;width:6in;height:36pt;z-index:1" o:allowincell="f">
            <v:textbox style="mso-next-textbox:#_x0000_s1026">
              <w:txbxContent>
                <w:p w:rsidR="00B17BCD" w:rsidRDefault="00B17BCD">
                  <w:pPr>
                    <w:ind w:left="1440" w:firstLine="720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COMMENTARY</w:t>
                  </w:r>
                </w:p>
              </w:txbxContent>
            </v:textbox>
          </v:shape>
        </w:pict>
      </w:r>
    </w:p>
    <w:p w:rsidR="00B17BCD" w:rsidRDefault="00B17BCD">
      <w:pPr>
        <w:widowControl w:val="0"/>
        <w:spacing w:line="360" w:lineRule="atLeast"/>
        <w:jc w:val="center"/>
        <w:rPr>
          <w:i/>
          <w:snapToGrid w:val="0"/>
          <w:sz w:val="32"/>
        </w:rPr>
      </w:pPr>
      <w:r>
        <w:rPr>
          <w:b/>
          <w:i/>
          <w:snapToGrid w:val="0"/>
          <w:sz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8028"/>
      </w:tblGrid>
      <w:tr w:rsidR="00B17BCD">
        <w:trPr>
          <w:trHeight w:val="2447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B17BCD" w:rsidRDefault="00B17BCD">
            <w:pPr>
              <w:widowControl w:val="0"/>
              <w:spacing w:line="360" w:lineRule="atLeast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</w:rPr>
              <w:object w:dxaOrig="3240" w:dyaOrig="6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9pt;height:140.6pt" o:ole="" fillcolor="window">
                  <v:imagedata r:id="rId8" o:title=""/>
                </v:shape>
                <o:OLEObject Type="Embed" ProgID="MS_ClipArt_Gallery" ShapeID="_x0000_i1025" DrawAspect="Content" ObjectID="_1639551384" r:id="rId9"/>
              </w:objec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B17BCD" w:rsidRDefault="00B17BCD">
            <w:pPr>
              <w:widowControl w:val="0"/>
              <w:spacing w:line="360" w:lineRule="atLeast"/>
              <w:jc w:val="center"/>
              <w:rPr>
                <w:b/>
                <w:i/>
                <w:snapToGrid w:val="0"/>
                <w:sz w:val="40"/>
              </w:rPr>
            </w:pPr>
          </w:p>
          <w:p w:rsidR="00B17BCD" w:rsidRDefault="00B17BCD">
            <w:pPr>
              <w:widowControl w:val="0"/>
              <w:spacing w:line="360" w:lineRule="atLeast"/>
              <w:jc w:val="center"/>
              <w:rPr>
                <w:i/>
                <w:snapToGrid w:val="0"/>
                <w:sz w:val="40"/>
              </w:rPr>
            </w:pPr>
            <w:r>
              <w:rPr>
                <w:b/>
                <w:i/>
                <w:snapToGrid w:val="0"/>
                <w:sz w:val="40"/>
              </w:rPr>
              <w:t>ETHAN ALLEN INSTITUTE</w:t>
            </w:r>
          </w:p>
          <w:p w:rsidR="00B17BCD" w:rsidRDefault="00B17BCD">
            <w:pPr>
              <w:widowControl w:val="0"/>
              <w:spacing w:line="360" w:lineRule="atLeast"/>
              <w:jc w:val="center"/>
              <w:rPr>
                <w:i/>
                <w:snapToGrid w:val="0"/>
                <w:sz w:val="32"/>
              </w:rPr>
            </w:pPr>
            <w:r>
              <w:rPr>
                <w:i/>
                <w:snapToGrid w:val="0"/>
                <w:sz w:val="32"/>
              </w:rPr>
              <w:t>"Ideas for Vermont's Future"</w:t>
            </w:r>
          </w:p>
          <w:p w:rsidR="00B17BCD" w:rsidRDefault="00B17BCD">
            <w:pPr>
              <w:widowControl w:val="0"/>
              <w:spacing w:line="360" w:lineRule="atLeast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Independent  - Nonprofit - Nonpartisan</w:t>
            </w:r>
          </w:p>
          <w:p w:rsidR="00B17BCD" w:rsidRDefault="00B17BCD">
            <w:pPr>
              <w:widowControl w:val="0"/>
              <w:spacing w:line="360" w:lineRule="atLeast"/>
              <w:jc w:val="center"/>
              <w:rPr>
                <w:snapToGrid w:val="0"/>
                <w:sz w:val="24"/>
              </w:rPr>
            </w:pPr>
          </w:p>
          <w:p w:rsidR="00B17BCD" w:rsidRDefault="00B17BCD">
            <w:pPr>
              <w:widowControl w:val="0"/>
              <w:spacing w:line="360" w:lineRule="atLeast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4836 Kirby Mountain Road  Concord, VT 05824       802 695 1448</w:t>
            </w:r>
            <w:r>
              <w:rPr>
                <w:snapToGrid w:val="0"/>
                <w:sz w:val="24"/>
              </w:rPr>
              <w:tab/>
            </w:r>
          </w:p>
          <w:p w:rsidR="00B17BCD" w:rsidRDefault="00E301D7">
            <w:pPr>
              <w:widowControl w:val="0"/>
              <w:spacing w:line="360" w:lineRule="atLeast"/>
              <w:jc w:val="center"/>
              <w:rPr>
                <w:snapToGrid w:val="0"/>
                <w:sz w:val="24"/>
              </w:rPr>
            </w:pPr>
            <w:hyperlink r:id="rId10" w:history="1">
              <w:r w:rsidR="00B17BCD">
                <w:rPr>
                  <w:rStyle w:val="Hyperlink"/>
                  <w:snapToGrid w:val="0"/>
                  <w:sz w:val="24"/>
                </w:rPr>
                <w:t>www.ethanallen.org</w:t>
              </w:r>
            </w:hyperlink>
            <w:r w:rsidR="00B17BCD">
              <w:rPr>
                <w:snapToGrid w:val="0"/>
                <w:sz w:val="24"/>
              </w:rPr>
              <w:t xml:space="preserve">  eai@ethanallen.org</w:t>
            </w:r>
          </w:p>
        </w:tc>
      </w:tr>
    </w:tbl>
    <w:p w:rsidR="00B17BCD" w:rsidRDefault="00B17BCD">
      <w:pPr>
        <w:widowControl w:val="0"/>
        <w:spacing w:line="360" w:lineRule="atLeast"/>
        <w:rPr>
          <w:rFonts w:ascii="Roman 10cpi" w:hAnsi="Roman 10cpi"/>
          <w:snapToGrid w:val="0"/>
          <w:sz w:val="24"/>
        </w:rPr>
      </w:pPr>
    </w:p>
    <w:p w:rsidR="00010E8D" w:rsidRDefault="00B17BCD" w:rsidP="0037596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For release T</w:t>
      </w:r>
      <w:r w:rsidR="00572C2C">
        <w:rPr>
          <w:snapToGrid w:val="0"/>
          <w:sz w:val="24"/>
        </w:rPr>
        <w:t xml:space="preserve">hursday, January 2, </w:t>
      </w:r>
      <w:proofErr w:type="gramStart"/>
      <w:r w:rsidR="00572C2C">
        <w:rPr>
          <w:snapToGrid w:val="0"/>
          <w:sz w:val="24"/>
        </w:rPr>
        <w:t>2020  (</w:t>
      </w:r>
      <w:proofErr w:type="gramEnd"/>
      <w:r w:rsidR="00572C2C">
        <w:rPr>
          <w:snapToGrid w:val="0"/>
          <w:sz w:val="24"/>
        </w:rPr>
        <w:t>after New Year’s)</w:t>
      </w:r>
    </w:p>
    <w:p w:rsidR="00572C2C" w:rsidRDefault="00572C2C" w:rsidP="0037596A">
      <w:pPr>
        <w:widowControl w:val="0"/>
        <w:rPr>
          <w:snapToGrid w:val="0"/>
          <w:sz w:val="24"/>
        </w:rPr>
      </w:pPr>
    </w:p>
    <w:p w:rsidR="00572C2C" w:rsidRDefault="00572C2C" w:rsidP="0037596A">
      <w:pPr>
        <w:widowControl w:val="0"/>
        <w:rPr>
          <w:snapToGrid w:val="0"/>
          <w:sz w:val="24"/>
        </w:rPr>
      </w:pPr>
    </w:p>
    <w:p w:rsidR="00B25149" w:rsidRDefault="00B25149" w:rsidP="00572C2C">
      <w:pPr>
        <w:widowControl w:val="0"/>
        <w:jc w:val="center"/>
        <w:rPr>
          <w:b/>
          <w:snapToGrid w:val="0"/>
          <w:sz w:val="40"/>
          <w:szCs w:val="40"/>
        </w:rPr>
      </w:pPr>
      <w:r w:rsidRPr="00572C2C">
        <w:rPr>
          <w:b/>
          <w:snapToGrid w:val="0"/>
          <w:sz w:val="40"/>
          <w:szCs w:val="40"/>
        </w:rPr>
        <w:t>What You Need to Know About TCI</w:t>
      </w:r>
    </w:p>
    <w:p w:rsidR="00572C2C" w:rsidRPr="00572C2C" w:rsidRDefault="00572C2C" w:rsidP="00572C2C">
      <w:pPr>
        <w:widowControl w:val="0"/>
        <w:jc w:val="center"/>
        <w:rPr>
          <w:b/>
          <w:snapToGrid w:val="0"/>
          <w:sz w:val="40"/>
          <w:szCs w:val="40"/>
        </w:rPr>
      </w:pPr>
    </w:p>
    <w:p w:rsidR="00637703" w:rsidRDefault="00010E8D" w:rsidP="00572C2C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John McClaughry</w:t>
      </w:r>
    </w:p>
    <w:p w:rsidR="00DB0AEF" w:rsidRDefault="00DB0AEF" w:rsidP="00572C2C">
      <w:pPr>
        <w:widowControl w:val="0"/>
        <w:jc w:val="center"/>
        <w:rPr>
          <w:snapToGrid w:val="0"/>
          <w:sz w:val="24"/>
        </w:rPr>
      </w:pPr>
    </w:p>
    <w:p w:rsidR="00DB0AEF" w:rsidRDefault="00DB0AEF" w:rsidP="00572C2C">
      <w:pPr>
        <w:widowControl w:val="0"/>
        <w:spacing w:after="120"/>
        <w:ind w:firstLine="720"/>
        <w:rPr>
          <w:snapToGrid w:val="0"/>
          <w:sz w:val="24"/>
        </w:rPr>
      </w:pPr>
      <w:r>
        <w:rPr>
          <w:snapToGrid w:val="0"/>
          <w:sz w:val="24"/>
        </w:rPr>
        <w:t xml:space="preserve">On December 17 the Georgetown </w:t>
      </w:r>
      <w:r w:rsidR="003248D4">
        <w:rPr>
          <w:snapToGrid w:val="0"/>
          <w:sz w:val="24"/>
        </w:rPr>
        <w:t>Climate</w:t>
      </w:r>
      <w:bookmarkStart w:id="0" w:name="_GoBack"/>
      <w:bookmarkEnd w:id="0"/>
      <w:r>
        <w:rPr>
          <w:snapToGrid w:val="0"/>
          <w:sz w:val="24"/>
        </w:rPr>
        <w:t xml:space="preserve"> Center revealed its long-awaited Transportation and Climate Initiative (TCI) draft </w:t>
      </w:r>
      <w:r w:rsidR="00A23903">
        <w:rPr>
          <w:snapToGrid w:val="0"/>
          <w:sz w:val="24"/>
        </w:rPr>
        <w:t>Memorandum Of U</w:t>
      </w:r>
      <w:r>
        <w:rPr>
          <w:snapToGrid w:val="0"/>
          <w:sz w:val="24"/>
        </w:rPr>
        <w:t xml:space="preserve">nderstanding (MOU). It will be open for on-line comments until February </w:t>
      </w:r>
      <w:r w:rsidR="00A23903">
        <w:rPr>
          <w:snapToGrid w:val="0"/>
          <w:sz w:val="24"/>
        </w:rPr>
        <w:t>28</w:t>
      </w:r>
      <w:r>
        <w:rPr>
          <w:snapToGrid w:val="0"/>
          <w:sz w:val="24"/>
        </w:rPr>
        <w:t xml:space="preserve">. At some point after that Gov. Scott will be asked to sign Vermont </w:t>
      </w:r>
      <w:r w:rsidR="000A4A13">
        <w:rPr>
          <w:snapToGrid w:val="0"/>
          <w:sz w:val="24"/>
        </w:rPr>
        <w:t>into TCI. P</w:t>
      </w:r>
      <w:r>
        <w:rPr>
          <w:snapToGrid w:val="0"/>
          <w:sz w:val="24"/>
        </w:rPr>
        <w:t xml:space="preserve">resumably </w:t>
      </w:r>
      <w:r w:rsidR="000A4A13">
        <w:rPr>
          <w:snapToGrid w:val="0"/>
          <w:sz w:val="24"/>
        </w:rPr>
        <w:t>the legislature w</w:t>
      </w:r>
      <w:r w:rsidR="00C722DE">
        <w:rPr>
          <w:snapToGrid w:val="0"/>
          <w:sz w:val="24"/>
        </w:rPr>
        <w:t>ould</w:t>
      </w:r>
      <w:r w:rsidR="000A4A13">
        <w:rPr>
          <w:snapToGrid w:val="0"/>
          <w:sz w:val="24"/>
        </w:rPr>
        <w:t xml:space="preserve"> have to enact some provisions </w:t>
      </w:r>
      <w:r>
        <w:rPr>
          <w:snapToGrid w:val="0"/>
          <w:sz w:val="24"/>
        </w:rPr>
        <w:t xml:space="preserve">to make it enforceable </w:t>
      </w:r>
      <w:r w:rsidR="00626C60">
        <w:rPr>
          <w:snapToGrid w:val="0"/>
          <w:sz w:val="24"/>
        </w:rPr>
        <w:t xml:space="preserve">on </w:t>
      </w:r>
      <w:r>
        <w:rPr>
          <w:snapToGrid w:val="0"/>
          <w:sz w:val="24"/>
        </w:rPr>
        <w:t>Vermont</w:t>
      </w:r>
      <w:r w:rsidR="00626C60">
        <w:rPr>
          <w:snapToGrid w:val="0"/>
          <w:sz w:val="24"/>
        </w:rPr>
        <w:t xml:space="preserve"> fuel dealers.</w:t>
      </w:r>
    </w:p>
    <w:p w:rsidR="008B1930" w:rsidRDefault="008B1930" w:rsidP="00572C2C">
      <w:pPr>
        <w:widowControl w:val="0"/>
        <w:spacing w:after="120"/>
        <w:rPr>
          <w:snapToGrid w:val="0"/>
          <w:sz w:val="24"/>
        </w:rPr>
      </w:pPr>
      <w:r>
        <w:rPr>
          <w:snapToGrid w:val="0"/>
          <w:sz w:val="24"/>
        </w:rPr>
        <w:tab/>
        <w:t xml:space="preserve">Here </w:t>
      </w:r>
      <w:r w:rsidR="00572C2C">
        <w:rPr>
          <w:snapToGrid w:val="0"/>
          <w:sz w:val="24"/>
        </w:rPr>
        <w:t xml:space="preserve">are twelve </w:t>
      </w:r>
      <w:r>
        <w:rPr>
          <w:snapToGrid w:val="0"/>
          <w:sz w:val="24"/>
        </w:rPr>
        <w:t>questions and answers that will explain what TCI is and expects to do.</w:t>
      </w:r>
    </w:p>
    <w:p w:rsidR="008B1930" w:rsidRDefault="000A4A13" w:rsidP="00572C2C">
      <w:pPr>
        <w:widowControl w:val="0"/>
        <w:spacing w:after="120"/>
        <w:ind w:firstLine="720"/>
        <w:rPr>
          <w:snapToGrid w:val="0"/>
          <w:sz w:val="24"/>
        </w:rPr>
      </w:pPr>
      <w:r>
        <w:rPr>
          <w:snapToGrid w:val="0"/>
          <w:sz w:val="24"/>
        </w:rPr>
        <w:t>Q:</w:t>
      </w:r>
      <w:r w:rsidR="00626C60">
        <w:rPr>
          <w:snapToGrid w:val="0"/>
          <w:sz w:val="24"/>
        </w:rPr>
        <w:t xml:space="preserve"> </w:t>
      </w:r>
      <w:r w:rsidR="008B1930">
        <w:rPr>
          <w:snapToGrid w:val="0"/>
          <w:sz w:val="24"/>
        </w:rPr>
        <w:t xml:space="preserve">What is TCI? TCI is a multistate regional agreement to drive up the price of motor fuel (gasoline and on-road diesel). It proposes to start at </w:t>
      </w:r>
      <w:r w:rsidR="00C722DE">
        <w:rPr>
          <w:snapToGrid w:val="0"/>
          <w:sz w:val="24"/>
        </w:rPr>
        <w:t>five, nine</w:t>
      </w:r>
      <w:r w:rsidR="008B1930">
        <w:rPr>
          <w:snapToGrid w:val="0"/>
          <w:sz w:val="24"/>
        </w:rPr>
        <w:t xml:space="preserve"> or </w:t>
      </w:r>
      <w:r w:rsidR="00C722DE">
        <w:rPr>
          <w:snapToGrid w:val="0"/>
          <w:sz w:val="24"/>
        </w:rPr>
        <w:t xml:space="preserve">seventeen </w:t>
      </w:r>
      <w:r w:rsidR="008B1930">
        <w:rPr>
          <w:snapToGrid w:val="0"/>
          <w:sz w:val="24"/>
        </w:rPr>
        <w:t>cents per gallon, and escalate upward from that, with no declared maximum.</w:t>
      </w:r>
    </w:p>
    <w:p w:rsidR="0084292F" w:rsidRDefault="000A4A13" w:rsidP="00572C2C">
      <w:pPr>
        <w:widowControl w:val="0"/>
        <w:spacing w:after="120"/>
        <w:ind w:firstLine="720"/>
        <w:rPr>
          <w:snapToGrid w:val="0"/>
          <w:sz w:val="24"/>
        </w:rPr>
      </w:pPr>
      <w:r>
        <w:rPr>
          <w:snapToGrid w:val="0"/>
          <w:sz w:val="24"/>
        </w:rPr>
        <w:t xml:space="preserve">Q: </w:t>
      </w:r>
      <w:r w:rsidR="00C81B0A">
        <w:rPr>
          <w:snapToGrid w:val="0"/>
          <w:sz w:val="24"/>
        </w:rPr>
        <w:t>Why do the TCI backers want to driv</w:t>
      </w:r>
      <w:r w:rsidR="000A28DF">
        <w:rPr>
          <w:snapToGrid w:val="0"/>
          <w:sz w:val="24"/>
        </w:rPr>
        <w:t>e up</w:t>
      </w:r>
      <w:r w:rsidR="00C81B0A">
        <w:rPr>
          <w:snapToGrid w:val="0"/>
          <w:sz w:val="24"/>
        </w:rPr>
        <w:t xml:space="preserve"> the price of motor fuel? </w:t>
      </w:r>
      <w:proofErr w:type="gramStart"/>
      <w:r w:rsidR="00C81B0A">
        <w:rPr>
          <w:snapToGrid w:val="0"/>
          <w:sz w:val="24"/>
        </w:rPr>
        <w:t>Because they are convi</w:t>
      </w:r>
      <w:r w:rsidR="0084292F">
        <w:rPr>
          <w:snapToGrid w:val="0"/>
          <w:sz w:val="24"/>
        </w:rPr>
        <w:t>n</w:t>
      </w:r>
      <w:r w:rsidR="00C81B0A">
        <w:rPr>
          <w:snapToGrid w:val="0"/>
          <w:sz w:val="24"/>
        </w:rPr>
        <w:t xml:space="preserve">ced that </w:t>
      </w:r>
      <w:r w:rsidR="0084292F">
        <w:rPr>
          <w:snapToGrid w:val="0"/>
          <w:sz w:val="24"/>
        </w:rPr>
        <w:t>“</w:t>
      </w:r>
      <w:r w:rsidR="00C81B0A" w:rsidRPr="00C81B0A">
        <w:rPr>
          <w:snapToGrid w:val="0"/>
          <w:sz w:val="24"/>
        </w:rPr>
        <w:t xml:space="preserve">climate change poses a clear, present, and increasingly dangerous threat to the communities and economic security of each </w:t>
      </w:r>
      <w:r w:rsidR="0084292F">
        <w:rPr>
          <w:snapToGrid w:val="0"/>
          <w:sz w:val="24"/>
        </w:rPr>
        <w:t>[participating state].”</w:t>
      </w:r>
      <w:proofErr w:type="gramEnd"/>
      <w:r w:rsidR="000A28DF">
        <w:rPr>
          <w:snapToGrid w:val="0"/>
          <w:sz w:val="24"/>
        </w:rPr>
        <w:t xml:space="preserve"> </w:t>
      </w:r>
      <w:r w:rsidR="00A23903">
        <w:rPr>
          <w:snapToGrid w:val="0"/>
          <w:sz w:val="24"/>
        </w:rPr>
        <w:t xml:space="preserve"> </w:t>
      </w:r>
      <w:r w:rsidR="0084292F">
        <w:rPr>
          <w:snapToGrid w:val="0"/>
          <w:sz w:val="24"/>
        </w:rPr>
        <w:t>The MOU says that the participating states will “</w:t>
      </w:r>
      <w:r w:rsidR="0084292F" w:rsidRPr="0084292F">
        <w:rPr>
          <w:snapToGrid w:val="0"/>
          <w:sz w:val="24"/>
        </w:rPr>
        <w:t>need to implement bold initiatives to mitigate the impacts of greenhouse gas emissions from the transportation sector</w:t>
      </w:r>
      <w:r>
        <w:rPr>
          <w:snapToGrid w:val="0"/>
          <w:sz w:val="24"/>
        </w:rPr>
        <w:t xml:space="preserve">,” </w:t>
      </w:r>
      <w:r w:rsidR="0084292F">
        <w:rPr>
          <w:snapToGrid w:val="0"/>
          <w:sz w:val="24"/>
        </w:rPr>
        <w:t xml:space="preserve">which produce 40% of human-caused emissions. </w:t>
      </w:r>
    </w:p>
    <w:p w:rsidR="0084292F" w:rsidRDefault="000A4A13" w:rsidP="00572C2C">
      <w:pPr>
        <w:widowControl w:val="0"/>
        <w:spacing w:after="120"/>
        <w:ind w:firstLine="720"/>
        <w:rPr>
          <w:snapToGrid w:val="0"/>
          <w:sz w:val="24"/>
        </w:rPr>
      </w:pPr>
      <w:r>
        <w:rPr>
          <w:snapToGrid w:val="0"/>
          <w:sz w:val="24"/>
        </w:rPr>
        <w:t xml:space="preserve">Q: </w:t>
      </w:r>
      <w:r w:rsidR="000A28DF">
        <w:rPr>
          <w:snapToGrid w:val="0"/>
          <w:sz w:val="24"/>
        </w:rPr>
        <w:t>H</w:t>
      </w:r>
      <w:r w:rsidR="0084292F">
        <w:rPr>
          <w:snapToGrid w:val="0"/>
          <w:sz w:val="24"/>
        </w:rPr>
        <w:t xml:space="preserve">ow </w:t>
      </w:r>
      <w:r w:rsidR="000A28DF">
        <w:rPr>
          <w:snapToGrid w:val="0"/>
          <w:sz w:val="24"/>
        </w:rPr>
        <w:t>will</w:t>
      </w:r>
      <w:r w:rsidR="0084292F">
        <w:rPr>
          <w:snapToGrid w:val="0"/>
          <w:sz w:val="24"/>
        </w:rPr>
        <w:t xml:space="preserve"> TCI drive down those emissions? By driving up the price of gasoline and diesel fuel so </w:t>
      </w:r>
      <w:r>
        <w:rPr>
          <w:snapToGrid w:val="0"/>
          <w:sz w:val="24"/>
        </w:rPr>
        <w:t xml:space="preserve">you </w:t>
      </w:r>
      <w:r w:rsidR="0084292F">
        <w:rPr>
          <w:snapToGrid w:val="0"/>
          <w:sz w:val="24"/>
        </w:rPr>
        <w:t xml:space="preserve">will drive less, drive smaller cars, </w:t>
      </w:r>
      <w:r w:rsidR="00A23903">
        <w:rPr>
          <w:snapToGrid w:val="0"/>
          <w:sz w:val="24"/>
        </w:rPr>
        <w:t>use</w:t>
      </w:r>
      <w:r w:rsidR="00BF3A68">
        <w:rPr>
          <w:snapToGrid w:val="0"/>
          <w:sz w:val="24"/>
        </w:rPr>
        <w:t xml:space="preserve"> electric vehicles, </w:t>
      </w:r>
      <w:r w:rsidR="0084292F">
        <w:rPr>
          <w:snapToGrid w:val="0"/>
          <w:sz w:val="24"/>
        </w:rPr>
        <w:t>walk, ride bicycles</w:t>
      </w:r>
      <w:r w:rsidR="00BF3A68">
        <w:rPr>
          <w:snapToGrid w:val="0"/>
          <w:sz w:val="24"/>
        </w:rPr>
        <w:t xml:space="preserve">, </w:t>
      </w:r>
      <w:r>
        <w:rPr>
          <w:snapToGrid w:val="0"/>
          <w:sz w:val="24"/>
        </w:rPr>
        <w:t>use</w:t>
      </w:r>
      <w:r w:rsidR="00BF3A68">
        <w:rPr>
          <w:snapToGrid w:val="0"/>
          <w:sz w:val="24"/>
        </w:rPr>
        <w:t xml:space="preserve"> public transportation, </w:t>
      </w:r>
      <w:r w:rsidR="0084292F">
        <w:rPr>
          <w:snapToGrid w:val="0"/>
          <w:sz w:val="24"/>
        </w:rPr>
        <w:t>move closer to school and work,</w:t>
      </w:r>
      <w:r w:rsidR="00BF3A68">
        <w:rPr>
          <w:snapToGrid w:val="0"/>
          <w:sz w:val="24"/>
        </w:rPr>
        <w:t xml:space="preserve"> and so on. </w:t>
      </w:r>
    </w:p>
    <w:p w:rsidR="00BF3A68" w:rsidRDefault="000A4A13" w:rsidP="00572C2C">
      <w:pPr>
        <w:widowControl w:val="0"/>
        <w:spacing w:after="120"/>
        <w:ind w:firstLine="720"/>
        <w:rPr>
          <w:snapToGrid w:val="0"/>
          <w:sz w:val="24"/>
        </w:rPr>
      </w:pPr>
      <w:r>
        <w:rPr>
          <w:snapToGrid w:val="0"/>
          <w:sz w:val="24"/>
        </w:rPr>
        <w:t xml:space="preserve">Q: </w:t>
      </w:r>
      <w:r w:rsidR="00BF3A68">
        <w:rPr>
          <w:snapToGrid w:val="0"/>
          <w:sz w:val="24"/>
        </w:rPr>
        <w:t xml:space="preserve">How does TCI drive up motor fuel prices? It </w:t>
      </w:r>
      <w:r>
        <w:rPr>
          <w:snapToGrid w:val="0"/>
          <w:sz w:val="24"/>
        </w:rPr>
        <w:t xml:space="preserve">creates </w:t>
      </w:r>
      <w:r w:rsidR="00BF3A68">
        <w:rPr>
          <w:snapToGrid w:val="0"/>
          <w:sz w:val="24"/>
        </w:rPr>
        <w:t>what it calls a “cap and invest” system. TCI sets a cap, or</w:t>
      </w:r>
      <w:r>
        <w:rPr>
          <w:snapToGrid w:val="0"/>
          <w:sz w:val="24"/>
        </w:rPr>
        <w:t xml:space="preserve"> limit,</w:t>
      </w:r>
      <w:r w:rsidR="00BF3A68">
        <w:rPr>
          <w:snapToGrid w:val="0"/>
          <w:sz w:val="24"/>
        </w:rPr>
        <w:t xml:space="preserve"> on carbon dioxide </w:t>
      </w:r>
      <w:r>
        <w:rPr>
          <w:snapToGrid w:val="0"/>
          <w:sz w:val="24"/>
        </w:rPr>
        <w:t xml:space="preserve">emissions from </w:t>
      </w:r>
      <w:r w:rsidR="00BF3A68">
        <w:rPr>
          <w:snapToGrid w:val="0"/>
          <w:sz w:val="24"/>
        </w:rPr>
        <w:t xml:space="preserve">burning motor fuel. Every distributor of motor fuel – of which there are eighty in Vermont – will be required to purchase “allowances” </w:t>
      </w:r>
      <w:r w:rsidR="000A28DF">
        <w:rPr>
          <w:snapToGrid w:val="0"/>
          <w:sz w:val="24"/>
        </w:rPr>
        <w:t xml:space="preserve">to match the </w:t>
      </w:r>
      <w:r w:rsidR="00BF3A68">
        <w:rPr>
          <w:snapToGrid w:val="0"/>
          <w:sz w:val="24"/>
        </w:rPr>
        <w:t>motor fuel sold in</w:t>
      </w:r>
      <w:r>
        <w:rPr>
          <w:snapToGrid w:val="0"/>
          <w:sz w:val="24"/>
        </w:rPr>
        <w:t xml:space="preserve"> each</w:t>
      </w:r>
      <w:r w:rsidR="00BF3A68">
        <w:rPr>
          <w:snapToGrid w:val="0"/>
          <w:sz w:val="24"/>
        </w:rPr>
        <w:t xml:space="preserve"> reporting period.</w:t>
      </w:r>
    </w:p>
    <w:p w:rsidR="00BF3A68" w:rsidRDefault="000A4A13" w:rsidP="00572C2C">
      <w:pPr>
        <w:widowControl w:val="0"/>
        <w:spacing w:after="120"/>
        <w:ind w:firstLine="720"/>
        <w:rPr>
          <w:snapToGrid w:val="0"/>
          <w:sz w:val="24"/>
        </w:rPr>
      </w:pPr>
      <w:r>
        <w:rPr>
          <w:snapToGrid w:val="0"/>
          <w:sz w:val="24"/>
        </w:rPr>
        <w:lastRenderedPageBreak/>
        <w:t>Q:</w:t>
      </w:r>
      <w:r w:rsidR="000A28DF">
        <w:rPr>
          <w:snapToGrid w:val="0"/>
          <w:sz w:val="24"/>
        </w:rPr>
        <w:t xml:space="preserve"> </w:t>
      </w:r>
      <w:r w:rsidR="00BF3A68">
        <w:rPr>
          <w:snapToGrid w:val="0"/>
          <w:sz w:val="24"/>
        </w:rPr>
        <w:t>So motorists, including passenger cars, p</w:t>
      </w:r>
      <w:r w:rsidR="00F216FA">
        <w:rPr>
          <w:snapToGrid w:val="0"/>
          <w:sz w:val="24"/>
        </w:rPr>
        <w:t>ic</w:t>
      </w:r>
      <w:r w:rsidR="00BF3A68">
        <w:rPr>
          <w:snapToGrid w:val="0"/>
          <w:sz w:val="24"/>
        </w:rPr>
        <w:t>kup</w:t>
      </w:r>
      <w:r w:rsidR="00F216FA">
        <w:rPr>
          <w:snapToGrid w:val="0"/>
          <w:sz w:val="24"/>
        </w:rPr>
        <w:t xml:space="preserve">s, SUVs, vans, </w:t>
      </w:r>
      <w:r w:rsidR="00BF3A68">
        <w:rPr>
          <w:snapToGrid w:val="0"/>
          <w:sz w:val="24"/>
        </w:rPr>
        <w:t xml:space="preserve">school buses, delivery trucks, contractor vehicles, </w:t>
      </w:r>
      <w:r w:rsidR="000A28DF">
        <w:rPr>
          <w:snapToGrid w:val="0"/>
          <w:sz w:val="24"/>
        </w:rPr>
        <w:t xml:space="preserve">milk tankers, </w:t>
      </w:r>
      <w:r w:rsidR="00BF3A68">
        <w:rPr>
          <w:snapToGrid w:val="0"/>
          <w:sz w:val="24"/>
        </w:rPr>
        <w:t xml:space="preserve">ambulances, </w:t>
      </w:r>
      <w:r w:rsidR="000A28DF">
        <w:rPr>
          <w:snapToGrid w:val="0"/>
          <w:sz w:val="24"/>
        </w:rPr>
        <w:t xml:space="preserve">and motorcycles </w:t>
      </w:r>
      <w:r w:rsidR="00F216FA">
        <w:rPr>
          <w:snapToGrid w:val="0"/>
          <w:sz w:val="24"/>
        </w:rPr>
        <w:t>will end up paying for the allowances?  Yes</w:t>
      </w:r>
      <w:r w:rsidR="00A23903">
        <w:rPr>
          <w:snapToGrid w:val="0"/>
          <w:sz w:val="24"/>
        </w:rPr>
        <w:t>, of course they will.</w:t>
      </w:r>
    </w:p>
    <w:p w:rsidR="00F216FA" w:rsidRDefault="000A4A13" w:rsidP="00572C2C">
      <w:pPr>
        <w:widowControl w:val="0"/>
        <w:spacing w:after="120"/>
        <w:ind w:firstLine="720"/>
        <w:rPr>
          <w:snapToGrid w:val="0"/>
          <w:sz w:val="24"/>
        </w:rPr>
      </w:pPr>
      <w:r>
        <w:rPr>
          <w:snapToGrid w:val="0"/>
          <w:sz w:val="24"/>
        </w:rPr>
        <w:t xml:space="preserve">Q: </w:t>
      </w:r>
      <w:r w:rsidR="00F216FA">
        <w:rPr>
          <w:snapToGrid w:val="0"/>
          <w:sz w:val="24"/>
        </w:rPr>
        <w:t xml:space="preserve">What does the state get for imposing these costs on motorists? </w:t>
      </w:r>
      <w:r w:rsidR="00C722DE">
        <w:rPr>
          <w:snapToGrid w:val="0"/>
          <w:sz w:val="24"/>
        </w:rPr>
        <w:t>TCI will distribute among the participating states s</w:t>
      </w:r>
      <w:r w:rsidR="00F216FA">
        <w:rPr>
          <w:snapToGrid w:val="0"/>
          <w:sz w:val="24"/>
        </w:rPr>
        <w:t xml:space="preserve">ome fraction of the revenue from </w:t>
      </w:r>
      <w:r w:rsidR="00C722DE">
        <w:rPr>
          <w:snapToGrid w:val="0"/>
          <w:sz w:val="24"/>
        </w:rPr>
        <w:t>its</w:t>
      </w:r>
      <w:r w:rsidR="00F216FA">
        <w:rPr>
          <w:snapToGrid w:val="0"/>
          <w:sz w:val="24"/>
        </w:rPr>
        <w:t xml:space="preserve"> sale of “allowances”</w:t>
      </w:r>
      <w:r w:rsidR="00C722DE">
        <w:rPr>
          <w:snapToGrid w:val="0"/>
          <w:sz w:val="24"/>
        </w:rPr>
        <w:t>,</w:t>
      </w:r>
      <w:r w:rsidR="00F216FA">
        <w:rPr>
          <w:snapToGrid w:val="0"/>
          <w:sz w:val="24"/>
        </w:rPr>
        <w:t xml:space="preserve"> according to a</w:t>
      </w:r>
      <w:r>
        <w:rPr>
          <w:snapToGrid w:val="0"/>
          <w:sz w:val="24"/>
        </w:rPr>
        <w:t>n as yet un</w:t>
      </w:r>
      <w:r w:rsidR="00F216FA">
        <w:rPr>
          <w:snapToGrid w:val="0"/>
          <w:sz w:val="24"/>
        </w:rPr>
        <w:t>determined formula</w:t>
      </w:r>
      <w:r w:rsidR="00C722DE">
        <w:rPr>
          <w:snapToGrid w:val="0"/>
          <w:sz w:val="24"/>
        </w:rPr>
        <w:t>.</w:t>
      </w:r>
      <w:r w:rsidR="00F216FA">
        <w:rPr>
          <w:snapToGrid w:val="0"/>
          <w:sz w:val="24"/>
        </w:rPr>
        <w:t xml:space="preserve"> The states are supposed to use these revenues to further drive down gasoline and on</w:t>
      </w:r>
      <w:r>
        <w:rPr>
          <w:snapToGrid w:val="0"/>
          <w:sz w:val="24"/>
        </w:rPr>
        <w:t>-</w:t>
      </w:r>
      <w:r w:rsidR="00F216FA">
        <w:rPr>
          <w:snapToGrid w:val="0"/>
          <w:sz w:val="24"/>
        </w:rPr>
        <w:t>road diesel use</w:t>
      </w:r>
      <w:r w:rsidR="00DC7314">
        <w:rPr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and </w:t>
      </w:r>
      <w:r w:rsidR="00DC7314">
        <w:rPr>
          <w:snapToGrid w:val="0"/>
          <w:sz w:val="24"/>
        </w:rPr>
        <w:t>“</w:t>
      </w:r>
      <w:r w:rsidR="00DC7314" w:rsidRPr="00DC7314">
        <w:rPr>
          <w:snapToGrid w:val="0"/>
          <w:sz w:val="24"/>
        </w:rPr>
        <w:t xml:space="preserve">help their </w:t>
      </w:r>
      <w:proofErr w:type="gramStart"/>
      <w:r w:rsidR="00DC7314" w:rsidRPr="00DC7314">
        <w:rPr>
          <w:snapToGrid w:val="0"/>
          <w:sz w:val="24"/>
        </w:rPr>
        <w:t>residents</w:t>
      </w:r>
      <w:proofErr w:type="gramEnd"/>
      <w:r w:rsidR="00DC7314" w:rsidRPr="00DC7314">
        <w:rPr>
          <w:snapToGrid w:val="0"/>
          <w:sz w:val="24"/>
        </w:rPr>
        <w:t xml:space="preserve"> transition to affordable, low-carbon transportation options</w:t>
      </w:r>
      <w:r w:rsidR="00DC7314">
        <w:rPr>
          <w:snapToGrid w:val="0"/>
          <w:sz w:val="24"/>
        </w:rPr>
        <w:t xml:space="preserve">”. </w:t>
      </w:r>
      <w:r w:rsidR="00F216FA">
        <w:rPr>
          <w:snapToGrid w:val="0"/>
          <w:sz w:val="24"/>
        </w:rPr>
        <w:t xml:space="preserve">Paying people to buy electric cars, and building charging stations for </w:t>
      </w:r>
      <w:proofErr w:type="gramStart"/>
      <w:r w:rsidR="00F216FA">
        <w:rPr>
          <w:snapToGrid w:val="0"/>
          <w:sz w:val="24"/>
        </w:rPr>
        <w:t>them,</w:t>
      </w:r>
      <w:proofErr w:type="gramEnd"/>
      <w:r w:rsidR="00F216FA">
        <w:rPr>
          <w:snapToGrid w:val="0"/>
          <w:sz w:val="24"/>
        </w:rPr>
        <w:t xml:space="preserve"> is a </w:t>
      </w:r>
      <w:r w:rsidR="00DC7314">
        <w:rPr>
          <w:snapToGrid w:val="0"/>
          <w:sz w:val="24"/>
        </w:rPr>
        <w:t>recommended</w:t>
      </w:r>
      <w:r w:rsidR="00F216FA">
        <w:rPr>
          <w:snapToGrid w:val="0"/>
          <w:sz w:val="24"/>
        </w:rPr>
        <w:t xml:space="preserve"> use of the funds. However, the states can use </w:t>
      </w:r>
      <w:r w:rsidR="00DC7314">
        <w:rPr>
          <w:snapToGrid w:val="0"/>
          <w:sz w:val="24"/>
        </w:rPr>
        <w:t xml:space="preserve">what they receive </w:t>
      </w:r>
      <w:r w:rsidR="00F216FA">
        <w:rPr>
          <w:snapToGrid w:val="0"/>
          <w:sz w:val="24"/>
        </w:rPr>
        <w:t>for anything their legislature desires.</w:t>
      </w:r>
    </w:p>
    <w:p w:rsidR="00DB0AEF" w:rsidRDefault="00281F4F" w:rsidP="00572C2C">
      <w:pPr>
        <w:widowControl w:val="0"/>
        <w:spacing w:after="120"/>
        <w:ind w:firstLine="720"/>
        <w:rPr>
          <w:snapToGrid w:val="0"/>
          <w:sz w:val="24"/>
        </w:rPr>
      </w:pPr>
      <w:r>
        <w:rPr>
          <w:snapToGrid w:val="0"/>
          <w:sz w:val="24"/>
        </w:rPr>
        <w:t xml:space="preserve">Q: </w:t>
      </w:r>
      <w:r w:rsidR="00904E1D">
        <w:rPr>
          <w:snapToGrid w:val="0"/>
          <w:sz w:val="24"/>
        </w:rPr>
        <w:t>How many “allowances” will TCI issue? As many it sees fit. T</w:t>
      </w:r>
      <w:r w:rsidR="00DC7314">
        <w:rPr>
          <w:snapToGrid w:val="0"/>
          <w:sz w:val="24"/>
        </w:rPr>
        <w:t xml:space="preserve">CI will </w:t>
      </w:r>
      <w:r w:rsidR="00904E1D">
        <w:rPr>
          <w:snapToGrid w:val="0"/>
          <w:sz w:val="24"/>
        </w:rPr>
        <w:t>invent</w:t>
      </w:r>
      <w:r w:rsidR="00DC7314">
        <w:rPr>
          <w:snapToGrid w:val="0"/>
          <w:sz w:val="24"/>
        </w:rPr>
        <w:t xml:space="preserve"> them </w:t>
      </w:r>
      <w:r w:rsidR="00904E1D">
        <w:rPr>
          <w:snapToGrid w:val="0"/>
          <w:sz w:val="24"/>
        </w:rPr>
        <w:t xml:space="preserve">out of thin air, and motor fuel distributors will be required to </w:t>
      </w:r>
      <w:r w:rsidR="007566DE">
        <w:rPr>
          <w:snapToGrid w:val="0"/>
          <w:sz w:val="24"/>
        </w:rPr>
        <w:t>go into TCI</w:t>
      </w:r>
      <w:r w:rsidR="00DC7314">
        <w:rPr>
          <w:snapToGrid w:val="0"/>
          <w:sz w:val="24"/>
        </w:rPr>
        <w:t>’s</w:t>
      </w:r>
      <w:r w:rsidR="007566DE">
        <w:rPr>
          <w:snapToGrid w:val="0"/>
          <w:sz w:val="24"/>
        </w:rPr>
        <w:t xml:space="preserve"> auction market to </w:t>
      </w:r>
      <w:r w:rsidR="00904E1D">
        <w:rPr>
          <w:snapToGrid w:val="0"/>
          <w:sz w:val="24"/>
        </w:rPr>
        <w:t>buy enough of them with real money to match their motor fuel deliveries over a preceding reporting p</w:t>
      </w:r>
      <w:r w:rsidR="007566DE">
        <w:rPr>
          <w:snapToGrid w:val="0"/>
          <w:sz w:val="24"/>
        </w:rPr>
        <w:t>e</w:t>
      </w:r>
      <w:r w:rsidR="00904E1D">
        <w:rPr>
          <w:snapToGrid w:val="0"/>
          <w:sz w:val="24"/>
        </w:rPr>
        <w:t xml:space="preserve">riod. </w:t>
      </w:r>
      <w:r w:rsidR="00C722DE">
        <w:rPr>
          <w:snapToGrid w:val="0"/>
          <w:sz w:val="24"/>
        </w:rPr>
        <w:t>The cost of these “allowances” will be included in the price you pay at the pump.</w:t>
      </w:r>
    </w:p>
    <w:p w:rsidR="00281F4F" w:rsidRDefault="00281F4F" w:rsidP="00572C2C">
      <w:pPr>
        <w:widowControl w:val="0"/>
        <w:spacing w:after="120"/>
        <w:ind w:firstLine="720"/>
        <w:rPr>
          <w:snapToGrid w:val="0"/>
          <w:sz w:val="24"/>
        </w:rPr>
      </w:pPr>
      <w:r>
        <w:rPr>
          <w:snapToGrid w:val="0"/>
          <w:sz w:val="24"/>
        </w:rPr>
        <w:t xml:space="preserve">Q: </w:t>
      </w:r>
      <w:r w:rsidR="00DC7314">
        <w:rPr>
          <w:snapToGrid w:val="0"/>
          <w:sz w:val="24"/>
        </w:rPr>
        <w:t>Won’t this plan hit hardest on working people and the poor, especially in Vermont</w:t>
      </w:r>
      <w:r>
        <w:rPr>
          <w:snapToGrid w:val="0"/>
          <w:sz w:val="24"/>
        </w:rPr>
        <w:t>’s</w:t>
      </w:r>
      <w:r w:rsidR="00DC7314">
        <w:rPr>
          <w:snapToGrid w:val="0"/>
          <w:sz w:val="24"/>
        </w:rPr>
        <w:t xml:space="preserve"> rural areas?</w:t>
      </w:r>
      <w:r>
        <w:rPr>
          <w:snapToGrid w:val="0"/>
          <w:sz w:val="24"/>
        </w:rPr>
        <w:t xml:space="preserve"> </w:t>
      </w:r>
      <w:proofErr w:type="gramStart"/>
      <w:r w:rsidR="00DC7314">
        <w:rPr>
          <w:snapToGrid w:val="0"/>
          <w:sz w:val="24"/>
        </w:rPr>
        <w:t>Of course.</w:t>
      </w:r>
      <w:proofErr w:type="gramEnd"/>
      <w:r w:rsidR="007C6E45">
        <w:rPr>
          <w:snapToGrid w:val="0"/>
          <w:sz w:val="24"/>
        </w:rPr>
        <w:t xml:space="preserve"> </w:t>
      </w:r>
      <w:r w:rsidR="00A23903">
        <w:rPr>
          <w:snapToGrid w:val="0"/>
          <w:sz w:val="24"/>
        </w:rPr>
        <w:t>It’s regressive.</w:t>
      </w:r>
    </w:p>
    <w:p w:rsidR="009C78D8" w:rsidRDefault="00281F4F" w:rsidP="00572C2C">
      <w:pPr>
        <w:widowControl w:val="0"/>
        <w:spacing w:after="120"/>
        <w:ind w:firstLine="720"/>
        <w:rPr>
          <w:snapToGrid w:val="0"/>
          <w:sz w:val="24"/>
        </w:rPr>
      </w:pPr>
      <w:r>
        <w:rPr>
          <w:snapToGrid w:val="0"/>
          <w:sz w:val="24"/>
        </w:rPr>
        <w:t xml:space="preserve">Q: </w:t>
      </w:r>
      <w:r w:rsidR="007E7CEC">
        <w:rPr>
          <w:snapToGrid w:val="0"/>
          <w:sz w:val="24"/>
        </w:rPr>
        <w:t xml:space="preserve">How much will the preferred TCI scenario reduce carbon dioxide emissions from motor fuel? </w:t>
      </w:r>
      <w:r w:rsidR="009C78D8">
        <w:rPr>
          <w:snapToGrid w:val="0"/>
          <w:sz w:val="24"/>
        </w:rPr>
        <w:t xml:space="preserve">Drew Cline of New Hampshire’s Josiah Bartlett Center </w:t>
      </w:r>
      <w:r w:rsidR="007E7CEC">
        <w:rPr>
          <w:snapToGrid w:val="0"/>
          <w:sz w:val="24"/>
        </w:rPr>
        <w:t>analyzed the TCI economic model. He found that t</w:t>
      </w:r>
      <w:r w:rsidR="007E7CEC" w:rsidRPr="007E7CEC">
        <w:rPr>
          <w:snapToGrid w:val="0"/>
          <w:sz w:val="24"/>
        </w:rPr>
        <w:t>he “reference case” used by the Georgetown Climate Center to project what would happen from 2022</w:t>
      </w:r>
      <w:r w:rsidR="000A28DF">
        <w:rPr>
          <w:snapToGrid w:val="0"/>
          <w:sz w:val="24"/>
        </w:rPr>
        <w:t xml:space="preserve"> to </w:t>
      </w:r>
      <w:r w:rsidR="007E7CEC" w:rsidRPr="007E7CEC">
        <w:rPr>
          <w:snapToGrid w:val="0"/>
          <w:sz w:val="24"/>
        </w:rPr>
        <w:t xml:space="preserve">2032 if states </w:t>
      </w:r>
      <w:r w:rsidR="007E7CEC">
        <w:rPr>
          <w:snapToGrid w:val="0"/>
          <w:sz w:val="24"/>
        </w:rPr>
        <w:t xml:space="preserve">did </w:t>
      </w:r>
      <w:r w:rsidR="007E7CEC" w:rsidRPr="007E7CEC">
        <w:rPr>
          <w:snapToGrid w:val="0"/>
          <w:sz w:val="24"/>
          <w:u w:val="single"/>
        </w:rPr>
        <w:t>not</w:t>
      </w:r>
      <w:r w:rsidR="007E7CEC">
        <w:rPr>
          <w:snapToGrid w:val="0"/>
          <w:sz w:val="24"/>
        </w:rPr>
        <w:t xml:space="preserve"> implement the TCI would likely be </w:t>
      </w:r>
      <w:r w:rsidR="007E7CEC" w:rsidRPr="007E7CEC">
        <w:rPr>
          <w:snapToGrid w:val="0"/>
          <w:sz w:val="24"/>
        </w:rPr>
        <w:t xml:space="preserve">a 19% </w:t>
      </w:r>
      <w:r w:rsidR="007E7CEC">
        <w:rPr>
          <w:snapToGrid w:val="0"/>
          <w:sz w:val="24"/>
        </w:rPr>
        <w:t>reduction</w:t>
      </w:r>
      <w:r w:rsidR="007E7CEC" w:rsidRPr="007E7CEC">
        <w:rPr>
          <w:snapToGrid w:val="0"/>
          <w:sz w:val="24"/>
        </w:rPr>
        <w:t xml:space="preserve"> in carbon </w:t>
      </w:r>
      <w:r w:rsidR="007E7CEC">
        <w:rPr>
          <w:snapToGrid w:val="0"/>
          <w:sz w:val="24"/>
        </w:rPr>
        <w:t xml:space="preserve">dioxide </w:t>
      </w:r>
      <w:r w:rsidR="007E7CEC" w:rsidRPr="007E7CEC">
        <w:rPr>
          <w:snapToGrid w:val="0"/>
          <w:sz w:val="24"/>
        </w:rPr>
        <w:t xml:space="preserve">emissions. If TCI </w:t>
      </w:r>
      <w:r w:rsidR="007E7CEC" w:rsidRPr="007E7CEC">
        <w:rPr>
          <w:snapToGrid w:val="0"/>
          <w:sz w:val="24"/>
          <w:u w:val="single"/>
        </w:rPr>
        <w:t>is</w:t>
      </w:r>
      <w:r w:rsidR="007E7CEC">
        <w:rPr>
          <w:snapToGrid w:val="0"/>
          <w:sz w:val="24"/>
        </w:rPr>
        <w:t xml:space="preserve"> implemented, emissions are </w:t>
      </w:r>
      <w:r w:rsidR="007E7CEC" w:rsidRPr="007E7CEC">
        <w:rPr>
          <w:snapToGrid w:val="0"/>
          <w:sz w:val="24"/>
        </w:rPr>
        <w:t xml:space="preserve">projected to fall by between 20% and 25% </w:t>
      </w:r>
      <w:r w:rsidR="000A28DF">
        <w:rPr>
          <w:snapToGrid w:val="0"/>
          <w:sz w:val="24"/>
        </w:rPr>
        <w:t>over that</w:t>
      </w:r>
      <w:r w:rsidR="007E7CEC" w:rsidRPr="007E7CEC">
        <w:rPr>
          <w:snapToGrid w:val="0"/>
          <w:sz w:val="24"/>
        </w:rPr>
        <w:t xml:space="preserve"> decade. So </w:t>
      </w:r>
      <w:r w:rsidR="000A28DF">
        <w:rPr>
          <w:snapToGrid w:val="0"/>
          <w:sz w:val="24"/>
        </w:rPr>
        <w:t xml:space="preserve">TCI will produce </w:t>
      </w:r>
      <w:r w:rsidR="007E7CEC" w:rsidRPr="007E7CEC">
        <w:rPr>
          <w:snapToGrid w:val="0"/>
          <w:sz w:val="24"/>
        </w:rPr>
        <w:t xml:space="preserve">an </w:t>
      </w:r>
      <w:r w:rsidR="007E7CEC">
        <w:rPr>
          <w:snapToGrid w:val="0"/>
          <w:sz w:val="24"/>
        </w:rPr>
        <w:t xml:space="preserve">additional </w:t>
      </w:r>
      <w:r w:rsidR="007E7CEC" w:rsidRPr="007E7CEC">
        <w:rPr>
          <w:snapToGrid w:val="0"/>
          <w:sz w:val="24"/>
        </w:rPr>
        <w:t>emissions reduction of between 1 and 6 percentage points on top of a presumed reduction of 19 percent</w:t>
      </w:r>
      <w:r w:rsidR="007E7CEC">
        <w:rPr>
          <w:snapToGrid w:val="0"/>
          <w:sz w:val="24"/>
        </w:rPr>
        <w:t xml:space="preserve">. </w:t>
      </w:r>
      <w:r w:rsidR="00303418">
        <w:rPr>
          <w:snapToGrid w:val="0"/>
          <w:sz w:val="24"/>
        </w:rPr>
        <w:t xml:space="preserve">In short, TCI would extract $56 billion from motor fuel users to reduce carbon dioxide emissions by a little more than 5 percent over ten years. </w:t>
      </w:r>
      <w:r w:rsidR="009C78D8" w:rsidRPr="009C78D8">
        <w:rPr>
          <w:snapToGrid w:val="0"/>
          <w:sz w:val="24"/>
        </w:rPr>
        <w:t xml:space="preserve"> </w:t>
      </w:r>
    </w:p>
    <w:p w:rsidR="00303418" w:rsidRDefault="00281F4F" w:rsidP="00572C2C">
      <w:pPr>
        <w:widowControl w:val="0"/>
        <w:spacing w:after="120"/>
        <w:ind w:firstLine="720"/>
        <w:rPr>
          <w:snapToGrid w:val="0"/>
          <w:sz w:val="24"/>
        </w:rPr>
      </w:pPr>
      <w:r>
        <w:rPr>
          <w:snapToGrid w:val="0"/>
          <w:sz w:val="24"/>
        </w:rPr>
        <w:t>Q: Will th</w:t>
      </w:r>
      <w:r w:rsidR="007E7CEC">
        <w:rPr>
          <w:snapToGrid w:val="0"/>
          <w:sz w:val="24"/>
        </w:rPr>
        <w:t xml:space="preserve">at reduction of emissions </w:t>
      </w:r>
      <w:r w:rsidR="00303418">
        <w:rPr>
          <w:snapToGrid w:val="0"/>
          <w:sz w:val="24"/>
        </w:rPr>
        <w:t>actually reduce “climate change”</w:t>
      </w:r>
      <w:r w:rsidR="007E7CEC">
        <w:rPr>
          <w:snapToGrid w:val="0"/>
          <w:sz w:val="24"/>
        </w:rPr>
        <w:t>?</w:t>
      </w:r>
      <w:r w:rsidR="00303418">
        <w:rPr>
          <w:snapToGrid w:val="0"/>
          <w:sz w:val="24"/>
        </w:rPr>
        <w:t xml:space="preserve"> </w:t>
      </w:r>
      <w:proofErr w:type="gramStart"/>
      <w:r w:rsidR="00303418">
        <w:rPr>
          <w:snapToGrid w:val="0"/>
          <w:sz w:val="24"/>
        </w:rPr>
        <w:t>Certainly not measurably.</w:t>
      </w:r>
      <w:proofErr w:type="gramEnd"/>
      <w:r w:rsidR="00303418">
        <w:rPr>
          <w:snapToGrid w:val="0"/>
          <w:sz w:val="24"/>
        </w:rPr>
        <w:t xml:space="preserve"> </w:t>
      </w:r>
      <w:proofErr w:type="gramStart"/>
      <w:r w:rsidR="00303418">
        <w:rPr>
          <w:snapToGrid w:val="0"/>
          <w:sz w:val="24"/>
        </w:rPr>
        <w:t>Probably not at all.</w:t>
      </w:r>
      <w:proofErr w:type="gramEnd"/>
    </w:p>
    <w:p w:rsidR="00303418" w:rsidRDefault="00281F4F" w:rsidP="00572C2C">
      <w:pPr>
        <w:widowControl w:val="0"/>
        <w:spacing w:after="120"/>
        <w:ind w:firstLine="720"/>
        <w:rPr>
          <w:snapToGrid w:val="0"/>
          <w:sz w:val="24"/>
        </w:rPr>
      </w:pPr>
      <w:r>
        <w:rPr>
          <w:snapToGrid w:val="0"/>
          <w:sz w:val="24"/>
        </w:rPr>
        <w:t xml:space="preserve">Q: </w:t>
      </w:r>
      <w:r w:rsidR="00303418">
        <w:rPr>
          <w:snapToGrid w:val="0"/>
          <w:sz w:val="24"/>
        </w:rPr>
        <w:t xml:space="preserve">Wait a minute. Isn’t this TCI “cap and invest” scheme just another carbon tax in a fancy </w:t>
      </w:r>
      <w:proofErr w:type="gramStart"/>
      <w:r w:rsidR="00303418">
        <w:rPr>
          <w:snapToGrid w:val="0"/>
          <w:sz w:val="24"/>
        </w:rPr>
        <w:t>package ,</w:t>
      </w:r>
      <w:proofErr w:type="gramEnd"/>
      <w:r w:rsidR="00303418">
        <w:rPr>
          <w:snapToGrid w:val="0"/>
          <w:sz w:val="24"/>
        </w:rPr>
        <w:t xml:space="preserve"> designed to make it look like it’s not a carbon tax?  </w:t>
      </w:r>
      <w:r w:rsidR="000A28DF">
        <w:rPr>
          <w:snapToGrid w:val="0"/>
          <w:sz w:val="24"/>
        </w:rPr>
        <w:t>Yes, o</w:t>
      </w:r>
      <w:r w:rsidR="00303418">
        <w:rPr>
          <w:snapToGrid w:val="0"/>
          <w:sz w:val="24"/>
        </w:rPr>
        <w:t>f course.</w:t>
      </w:r>
    </w:p>
    <w:p w:rsidR="00303418" w:rsidRDefault="00281F4F" w:rsidP="00572C2C">
      <w:pPr>
        <w:widowControl w:val="0"/>
        <w:spacing w:after="120"/>
        <w:ind w:firstLine="720"/>
        <w:rPr>
          <w:snapToGrid w:val="0"/>
          <w:sz w:val="24"/>
        </w:rPr>
      </w:pPr>
      <w:r>
        <w:rPr>
          <w:snapToGrid w:val="0"/>
          <w:sz w:val="24"/>
        </w:rPr>
        <w:t xml:space="preserve">Q: </w:t>
      </w:r>
      <w:r w:rsidR="00303418">
        <w:rPr>
          <w:snapToGrid w:val="0"/>
          <w:sz w:val="24"/>
        </w:rPr>
        <w:t>Gov. Phil Scott has steadfastly promised to veto a carbon tax. Won’t he reject the MOU, as New Hampshire Governor Chris Sununu has already done, and veto any legislation to force Vermont fuel deale</w:t>
      </w:r>
      <w:r w:rsidR="004833A0">
        <w:rPr>
          <w:snapToGrid w:val="0"/>
          <w:sz w:val="24"/>
        </w:rPr>
        <w:t>r</w:t>
      </w:r>
      <w:r w:rsidR="00303418">
        <w:rPr>
          <w:snapToGrid w:val="0"/>
          <w:sz w:val="24"/>
        </w:rPr>
        <w:t xml:space="preserve">s to buy those funny money </w:t>
      </w:r>
      <w:r w:rsidR="004833A0">
        <w:rPr>
          <w:snapToGrid w:val="0"/>
          <w:sz w:val="24"/>
        </w:rPr>
        <w:t xml:space="preserve">TCI </w:t>
      </w:r>
      <w:r w:rsidR="00303418">
        <w:rPr>
          <w:snapToGrid w:val="0"/>
          <w:sz w:val="24"/>
        </w:rPr>
        <w:t>allowances tha</w:t>
      </w:r>
      <w:r w:rsidR="004833A0">
        <w:rPr>
          <w:snapToGrid w:val="0"/>
          <w:sz w:val="24"/>
        </w:rPr>
        <w:t>t</w:t>
      </w:r>
      <w:r w:rsidR="00303418">
        <w:rPr>
          <w:snapToGrid w:val="0"/>
          <w:sz w:val="24"/>
        </w:rPr>
        <w:t xml:space="preserve"> will </w:t>
      </w:r>
      <w:r w:rsidR="004833A0">
        <w:rPr>
          <w:snapToGrid w:val="0"/>
          <w:sz w:val="24"/>
        </w:rPr>
        <w:t>d</w:t>
      </w:r>
      <w:r w:rsidR="00303418">
        <w:rPr>
          <w:snapToGrid w:val="0"/>
          <w:sz w:val="24"/>
        </w:rPr>
        <w:t>rive u</w:t>
      </w:r>
      <w:r w:rsidR="004833A0">
        <w:rPr>
          <w:snapToGrid w:val="0"/>
          <w:sz w:val="24"/>
        </w:rPr>
        <w:t>p</w:t>
      </w:r>
      <w:r w:rsidR="00303418">
        <w:rPr>
          <w:snapToGrid w:val="0"/>
          <w:sz w:val="24"/>
        </w:rPr>
        <w:t xml:space="preserve"> the price of </w:t>
      </w:r>
      <w:r w:rsidR="004833A0">
        <w:rPr>
          <w:snapToGrid w:val="0"/>
          <w:sz w:val="24"/>
        </w:rPr>
        <w:t>g</w:t>
      </w:r>
      <w:r w:rsidR="00303418">
        <w:rPr>
          <w:snapToGrid w:val="0"/>
          <w:sz w:val="24"/>
        </w:rPr>
        <w:t>aso</w:t>
      </w:r>
      <w:r w:rsidR="004833A0">
        <w:rPr>
          <w:snapToGrid w:val="0"/>
          <w:sz w:val="24"/>
        </w:rPr>
        <w:t>l</w:t>
      </w:r>
      <w:r w:rsidR="00303418">
        <w:rPr>
          <w:snapToGrid w:val="0"/>
          <w:sz w:val="24"/>
        </w:rPr>
        <w:t>ine and</w:t>
      </w:r>
      <w:r w:rsidR="004833A0">
        <w:rPr>
          <w:snapToGrid w:val="0"/>
          <w:sz w:val="24"/>
        </w:rPr>
        <w:t xml:space="preserve"> </w:t>
      </w:r>
      <w:r w:rsidR="00303418">
        <w:rPr>
          <w:snapToGrid w:val="0"/>
          <w:sz w:val="24"/>
        </w:rPr>
        <w:t>diesel fuel</w:t>
      </w:r>
      <w:r w:rsidR="004833A0">
        <w:rPr>
          <w:snapToGrid w:val="0"/>
          <w:sz w:val="24"/>
        </w:rPr>
        <w:t xml:space="preserve"> for all Vermonters?  </w:t>
      </w:r>
      <w:r w:rsidR="00A8490A">
        <w:rPr>
          <w:snapToGrid w:val="0"/>
          <w:sz w:val="24"/>
        </w:rPr>
        <w:t>As of now he won’t say, so</w:t>
      </w:r>
      <w:r w:rsidR="004833A0">
        <w:rPr>
          <w:snapToGrid w:val="0"/>
          <w:sz w:val="24"/>
        </w:rPr>
        <w:t xml:space="preserve"> if you don’t want to see the TCI drive up your fuel prices</w:t>
      </w:r>
      <w:r w:rsidR="00A8490A">
        <w:rPr>
          <w:snapToGrid w:val="0"/>
          <w:sz w:val="24"/>
        </w:rPr>
        <w:t xml:space="preserve"> year after year</w:t>
      </w:r>
      <w:r w:rsidR="004833A0">
        <w:rPr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it wouldn’t hurt to </w:t>
      </w:r>
      <w:r w:rsidR="00A8490A">
        <w:rPr>
          <w:snapToGrid w:val="0"/>
          <w:sz w:val="24"/>
        </w:rPr>
        <w:t xml:space="preserve">encourage him to </w:t>
      </w:r>
      <w:r w:rsidR="00B14C4B">
        <w:rPr>
          <w:snapToGrid w:val="0"/>
          <w:sz w:val="24"/>
        </w:rPr>
        <w:t>strengthen his resolve</w:t>
      </w:r>
      <w:r w:rsidR="00A8490A">
        <w:rPr>
          <w:snapToGrid w:val="0"/>
          <w:sz w:val="24"/>
        </w:rPr>
        <w:t xml:space="preserve">. </w:t>
      </w:r>
    </w:p>
    <w:p w:rsidR="00572C2C" w:rsidRDefault="00572C2C" w:rsidP="00572C2C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303030</w:t>
      </w:r>
    </w:p>
    <w:p w:rsidR="00572C2C" w:rsidRPr="009C78D8" w:rsidRDefault="00572C2C" w:rsidP="00572C2C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John McClaughry is vice president of the Ethan Allen Institute (www.ethanallen.org).</w:t>
      </w:r>
    </w:p>
    <w:p w:rsidR="009C78D8" w:rsidRPr="009C78D8" w:rsidRDefault="009C78D8" w:rsidP="00303418">
      <w:pPr>
        <w:widowControl w:val="0"/>
        <w:rPr>
          <w:snapToGrid w:val="0"/>
          <w:sz w:val="24"/>
        </w:rPr>
      </w:pPr>
    </w:p>
    <w:p w:rsidR="00DB0AEF" w:rsidRDefault="00DB0AEF" w:rsidP="0037596A">
      <w:pPr>
        <w:widowControl w:val="0"/>
        <w:rPr>
          <w:snapToGrid w:val="0"/>
          <w:sz w:val="24"/>
        </w:rPr>
      </w:pPr>
    </w:p>
    <w:sectPr w:rsidR="00DB0AEF">
      <w:headerReference w:type="default" r:id="rId11"/>
      <w:footerReference w:type="default" r:id="rId12"/>
      <w:pgSz w:w="12240" w:h="15840"/>
      <w:pgMar w:top="1440" w:right="1440" w:bottom="1440" w:left="1440" w:header="72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D7" w:rsidRDefault="00E301D7">
      <w:r>
        <w:separator/>
      </w:r>
    </w:p>
  </w:endnote>
  <w:endnote w:type="continuationSeparator" w:id="0">
    <w:p w:rsidR="00E301D7" w:rsidRDefault="00E3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CD" w:rsidRDefault="00B17BCD">
    <w:pPr>
      <w:widowControl w:val="0"/>
      <w:tabs>
        <w:tab w:val="center" w:pos="4680"/>
        <w:tab w:val="right" w:pos="9360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D7" w:rsidRDefault="00E301D7">
      <w:r>
        <w:separator/>
      </w:r>
    </w:p>
  </w:footnote>
  <w:footnote w:type="continuationSeparator" w:id="0">
    <w:p w:rsidR="00E301D7" w:rsidRDefault="00E30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CD" w:rsidRDefault="00B17BCD">
    <w:pPr>
      <w:widowControl w:val="0"/>
      <w:tabs>
        <w:tab w:val="center" w:pos="4680"/>
        <w:tab w:val="right" w:pos="936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992"/>
    <w:multiLevelType w:val="hybridMultilevel"/>
    <w:tmpl w:val="83CCB670"/>
    <w:lvl w:ilvl="0" w:tplc="180E4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A1AFF"/>
    <w:multiLevelType w:val="multilevel"/>
    <w:tmpl w:val="B554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43DFA"/>
    <w:multiLevelType w:val="multilevel"/>
    <w:tmpl w:val="DB84F9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51468B"/>
    <w:multiLevelType w:val="hybridMultilevel"/>
    <w:tmpl w:val="F4585F04"/>
    <w:lvl w:ilvl="0" w:tplc="48904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7E45A5"/>
    <w:multiLevelType w:val="multilevel"/>
    <w:tmpl w:val="FD42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790"/>
    <w:rsid w:val="00010E8D"/>
    <w:rsid w:val="0001435B"/>
    <w:rsid w:val="00021C3C"/>
    <w:rsid w:val="00036BF4"/>
    <w:rsid w:val="00077670"/>
    <w:rsid w:val="000A09D1"/>
    <w:rsid w:val="000A28DF"/>
    <w:rsid w:val="000A4A13"/>
    <w:rsid w:val="000A53D2"/>
    <w:rsid w:val="000B20ED"/>
    <w:rsid w:val="00112942"/>
    <w:rsid w:val="001222F9"/>
    <w:rsid w:val="00126F07"/>
    <w:rsid w:val="00190D27"/>
    <w:rsid w:val="001A2575"/>
    <w:rsid w:val="001B1E2A"/>
    <w:rsid w:val="001C1CC1"/>
    <w:rsid w:val="001E6453"/>
    <w:rsid w:val="001F1B5D"/>
    <w:rsid w:val="00233E1C"/>
    <w:rsid w:val="0023574B"/>
    <w:rsid w:val="00243D85"/>
    <w:rsid w:val="00266F4C"/>
    <w:rsid w:val="00275145"/>
    <w:rsid w:val="00281F4F"/>
    <w:rsid w:val="0029561E"/>
    <w:rsid w:val="002A529B"/>
    <w:rsid w:val="002C253C"/>
    <w:rsid w:val="002E15E1"/>
    <w:rsid w:val="00303418"/>
    <w:rsid w:val="00310070"/>
    <w:rsid w:val="003248D4"/>
    <w:rsid w:val="003276DA"/>
    <w:rsid w:val="00337202"/>
    <w:rsid w:val="00355D40"/>
    <w:rsid w:val="003604C7"/>
    <w:rsid w:val="0037596A"/>
    <w:rsid w:val="003D48B2"/>
    <w:rsid w:val="00423459"/>
    <w:rsid w:val="00482C24"/>
    <w:rsid w:val="004833A0"/>
    <w:rsid w:val="004A481C"/>
    <w:rsid w:val="004B0412"/>
    <w:rsid w:val="004C119C"/>
    <w:rsid w:val="004C6051"/>
    <w:rsid w:val="004F1A07"/>
    <w:rsid w:val="004F24DB"/>
    <w:rsid w:val="00506EC7"/>
    <w:rsid w:val="00512F03"/>
    <w:rsid w:val="00531947"/>
    <w:rsid w:val="0055153A"/>
    <w:rsid w:val="00557F31"/>
    <w:rsid w:val="00572C2C"/>
    <w:rsid w:val="00585DB6"/>
    <w:rsid w:val="0059702E"/>
    <w:rsid w:val="005B7F51"/>
    <w:rsid w:val="005C4630"/>
    <w:rsid w:val="005E04C3"/>
    <w:rsid w:val="005E0751"/>
    <w:rsid w:val="006118C7"/>
    <w:rsid w:val="00626C60"/>
    <w:rsid w:val="0062731F"/>
    <w:rsid w:val="00636060"/>
    <w:rsid w:val="00637703"/>
    <w:rsid w:val="0064470F"/>
    <w:rsid w:val="00660D53"/>
    <w:rsid w:val="006719EE"/>
    <w:rsid w:val="006A1256"/>
    <w:rsid w:val="006A36A2"/>
    <w:rsid w:val="006B31D8"/>
    <w:rsid w:val="006B7C1C"/>
    <w:rsid w:val="006F0A56"/>
    <w:rsid w:val="00705790"/>
    <w:rsid w:val="00721A75"/>
    <w:rsid w:val="00725C8B"/>
    <w:rsid w:val="0075585F"/>
    <w:rsid w:val="007566DE"/>
    <w:rsid w:val="00777732"/>
    <w:rsid w:val="007B106B"/>
    <w:rsid w:val="007C1EB7"/>
    <w:rsid w:val="007C6E45"/>
    <w:rsid w:val="007E7CEC"/>
    <w:rsid w:val="00807D05"/>
    <w:rsid w:val="0084292F"/>
    <w:rsid w:val="00860117"/>
    <w:rsid w:val="00867B3A"/>
    <w:rsid w:val="00867F93"/>
    <w:rsid w:val="008723D4"/>
    <w:rsid w:val="00873C2E"/>
    <w:rsid w:val="00897374"/>
    <w:rsid w:val="008A4F2D"/>
    <w:rsid w:val="008A7EDC"/>
    <w:rsid w:val="008B1930"/>
    <w:rsid w:val="008C7620"/>
    <w:rsid w:val="008E49D4"/>
    <w:rsid w:val="008E778F"/>
    <w:rsid w:val="00900405"/>
    <w:rsid w:val="00904E1D"/>
    <w:rsid w:val="00906018"/>
    <w:rsid w:val="009166DE"/>
    <w:rsid w:val="009319B0"/>
    <w:rsid w:val="00931A34"/>
    <w:rsid w:val="00945EE5"/>
    <w:rsid w:val="0097362D"/>
    <w:rsid w:val="009A7B25"/>
    <w:rsid w:val="009B4792"/>
    <w:rsid w:val="009C78D8"/>
    <w:rsid w:val="009E671E"/>
    <w:rsid w:val="00A21633"/>
    <w:rsid w:val="00A23903"/>
    <w:rsid w:val="00A24E0C"/>
    <w:rsid w:val="00A57401"/>
    <w:rsid w:val="00A6274C"/>
    <w:rsid w:val="00A71C2E"/>
    <w:rsid w:val="00A8490A"/>
    <w:rsid w:val="00AD5B3E"/>
    <w:rsid w:val="00AE1214"/>
    <w:rsid w:val="00AF4A24"/>
    <w:rsid w:val="00B0716F"/>
    <w:rsid w:val="00B14C4B"/>
    <w:rsid w:val="00B15D5C"/>
    <w:rsid w:val="00B17BCD"/>
    <w:rsid w:val="00B25149"/>
    <w:rsid w:val="00B313F1"/>
    <w:rsid w:val="00B50184"/>
    <w:rsid w:val="00B52423"/>
    <w:rsid w:val="00B64692"/>
    <w:rsid w:val="00B72F9C"/>
    <w:rsid w:val="00B75183"/>
    <w:rsid w:val="00B87FBF"/>
    <w:rsid w:val="00BB182A"/>
    <w:rsid w:val="00BE6F64"/>
    <w:rsid w:val="00BF3A68"/>
    <w:rsid w:val="00C143A6"/>
    <w:rsid w:val="00C214C2"/>
    <w:rsid w:val="00C306ED"/>
    <w:rsid w:val="00C356E9"/>
    <w:rsid w:val="00C621E7"/>
    <w:rsid w:val="00C722DE"/>
    <w:rsid w:val="00C81B0A"/>
    <w:rsid w:val="00C85C44"/>
    <w:rsid w:val="00CB4B09"/>
    <w:rsid w:val="00CD1457"/>
    <w:rsid w:val="00CF405F"/>
    <w:rsid w:val="00CF54F8"/>
    <w:rsid w:val="00D108E2"/>
    <w:rsid w:val="00D21F0B"/>
    <w:rsid w:val="00D30121"/>
    <w:rsid w:val="00D41BC4"/>
    <w:rsid w:val="00D507DE"/>
    <w:rsid w:val="00D71166"/>
    <w:rsid w:val="00D95572"/>
    <w:rsid w:val="00DA3F7B"/>
    <w:rsid w:val="00DB0AEF"/>
    <w:rsid w:val="00DC7314"/>
    <w:rsid w:val="00DD2715"/>
    <w:rsid w:val="00DD54AD"/>
    <w:rsid w:val="00E301D7"/>
    <w:rsid w:val="00E43357"/>
    <w:rsid w:val="00E86C82"/>
    <w:rsid w:val="00EC2F0D"/>
    <w:rsid w:val="00EC7551"/>
    <w:rsid w:val="00F216FA"/>
    <w:rsid w:val="00F4104E"/>
    <w:rsid w:val="00F46439"/>
    <w:rsid w:val="00F64623"/>
    <w:rsid w:val="00F64D9A"/>
    <w:rsid w:val="00F71BDD"/>
    <w:rsid w:val="00F8640F"/>
    <w:rsid w:val="00F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6F07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4B09"/>
    <w:rPr>
      <w:rFonts w:eastAsia="Calibri"/>
      <w:iCs/>
      <w:sz w:val="24"/>
      <w:szCs w:val="21"/>
    </w:rPr>
  </w:style>
  <w:style w:type="character" w:customStyle="1" w:styleId="PlainTextChar">
    <w:name w:val="Plain Text Char"/>
    <w:link w:val="PlainText"/>
    <w:uiPriority w:val="99"/>
    <w:semiHidden/>
    <w:rsid w:val="00CB4B09"/>
    <w:rPr>
      <w:rFonts w:eastAsia="Calibri"/>
      <w:iCs/>
      <w:sz w:val="24"/>
      <w:szCs w:val="21"/>
    </w:rPr>
  </w:style>
  <w:style w:type="character" w:customStyle="1" w:styleId="apple-converted-space">
    <w:name w:val="apple-converted-space"/>
    <w:rsid w:val="00EC7551"/>
  </w:style>
  <w:style w:type="character" w:styleId="Emphasis">
    <w:name w:val="Emphasis"/>
    <w:uiPriority w:val="20"/>
    <w:qFormat/>
    <w:rsid w:val="00557F31"/>
    <w:rPr>
      <w:i/>
      <w:iCs/>
    </w:rPr>
  </w:style>
  <w:style w:type="paragraph" w:customStyle="1" w:styleId="Default">
    <w:name w:val="Default"/>
    <w:rsid w:val="006273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94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thanallen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Ethan Allen Institute</Company>
  <LinksUpToDate>false</LinksUpToDate>
  <CharactersWithSpaces>5144</CharactersWithSpaces>
  <SharedDoc>false</SharedDoc>
  <HLinks>
    <vt:vector size="6" baseType="variant">
      <vt:variant>
        <vt:i4>3276846</vt:i4>
      </vt:variant>
      <vt:variant>
        <vt:i4>3</vt:i4>
      </vt:variant>
      <vt:variant>
        <vt:i4>0</vt:i4>
      </vt:variant>
      <vt:variant>
        <vt:i4>5</vt:i4>
      </vt:variant>
      <vt:variant>
        <vt:lpwstr>http://www.ethanallen.org/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McClaughry</dc:creator>
  <cp:lastModifiedBy>John</cp:lastModifiedBy>
  <cp:revision>19</cp:revision>
  <cp:lastPrinted>2010-12-01T02:16:00Z</cp:lastPrinted>
  <dcterms:created xsi:type="dcterms:W3CDTF">2019-12-25T05:20:00Z</dcterms:created>
  <dcterms:modified xsi:type="dcterms:W3CDTF">2020-01-03T15:10:00Z</dcterms:modified>
</cp:coreProperties>
</file>