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94526" w14:textId="77777777" w:rsidR="00B51082" w:rsidRPr="00B51082" w:rsidRDefault="00B51082" w:rsidP="00B51082">
      <w:pPr>
        <w:pStyle w:val="Heading1"/>
        <w:rPr>
          <w:i/>
          <w:iCs/>
        </w:rPr>
      </w:pPr>
      <w:r>
        <w:t xml:space="preserve">Comments on TCI </w:t>
      </w:r>
      <w:hyperlink r:id="rId7" w:history="1">
        <w:r w:rsidRPr="00B51082">
          <w:rPr>
            <w:rStyle w:val="Hyperlink"/>
            <w:i/>
            <w:iCs/>
          </w:rPr>
          <w:t>Framework for a Draft Regional Policy Proposal</w:t>
        </w:r>
      </w:hyperlink>
    </w:p>
    <w:p w14:paraId="0BDE6CB1" w14:textId="41D2D6AA" w:rsidR="00245116" w:rsidRDefault="009D34D8" w:rsidP="00995E0F">
      <w:pPr>
        <w:rPr>
          <w:rFonts w:cs="Times New Roman"/>
        </w:rPr>
      </w:pPr>
      <w:r>
        <w:rPr>
          <w:rFonts w:cs="Times New Roman"/>
        </w:rPr>
        <w:t>11/0</w:t>
      </w:r>
      <w:r w:rsidR="00F22AE7">
        <w:rPr>
          <w:rFonts w:cs="Times New Roman"/>
        </w:rPr>
        <w:t>5</w:t>
      </w:r>
      <w:r>
        <w:rPr>
          <w:rFonts w:cs="Times New Roman"/>
        </w:rPr>
        <w:t>/19</w:t>
      </w:r>
    </w:p>
    <w:p w14:paraId="6EFC8A61" w14:textId="1CD051D9" w:rsidR="008945BD" w:rsidRDefault="00F83880" w:rsidP="002A7F0E">
      <w:pPr>
        <w:pStyle w:val="Heading15"/>
      </w:pPr>
      <w:r>
        <w:t xml:space="preserve">The Regional Policy </w:t>
      </w:r>
      <w:r w:rsidR="00894977">
        <w:t xml:space="preserve">Proposal </w:t>
      </w:r>
      <w:r>
        <w:t xml:space="preserve">should </w:t>
      </w:r>
      <w:r w:rsidR="000C7E28">
        <w:t xml:space="preserve">treat </w:t>
      </w:r>
      <w:r w:rsidR="00D15F30">
        <w:t>renewable</w:t>
      </w:r>
      <w:r w:rsidR="00894977">
        <w:t xml:space="preserve"> fuels</w:t>
      </w:r>
      <w:r w:rsidR="00BE150C">
        <w:t xml:space="preserve"> </w:t>
      </w:r>
      <w:r w:rsidR="000C7E28">
        <w:t>in a way that reflects their lower (or negative) greenhouse-gas emissions (GHG)</w:t>
      </w:r>
      <w:r w:rsidR="00EC121E">
        <w:t xml:space="preserve"> and in ways that spur rural economic development</w:t>
      </w:r>
      <w:r w:rsidR="00CF031C">
        <w:t>, encourage renewable fuel adoption,</w:t>
      </w:r>
      <w:r w:rsidR="00EC121E">
        <w:t xml:space="preserve"> and lower overall compliance costs</w:t>
      </w:r>
      <w:r w:rsidR="00A9139E">
        <w:t>.</w:t>
      </w:r>
    </w:p>
    <w:p w14:paraId="5849DF28" w14:textId="5039AC1A" w:rsidR="006F068F" w:rsidRDefault="00740098" w:rsidP="00995E0F">
      <w:pPr>
        <w:rPr>
          <w:rFonts w:cs="Times New Roman"/>
        </w:rPr>
      </w:pPr>
      <w:r>
        <w:rPr>
          <w:rFonts w:cs="Times New Roman"/>
        </w:rPr>
        <w:t xml:space="preserve">Limiting the affected fuels and limiting the type of GHG to </w:t>
      </w:r>
      <w:r w:rsidRPr="00566D97">
        <w:rPr>
          <w:rFonts w:cs="Times New Roman"/>
        </w:rPr>
        <w:t>CO</w:t>
      </w:r>
      <w:r w:rsidRPr="00566D97">
        <w:rPr>
          <w:rFonts w:cs="Times New Roman"/>
          <w:vertAlign w:val="subscript"/>
        </w:rPr>
        <w:t>2</w:t>
      </w:r>
      <w:r>
        <w:rPr>
          <w:rFonts w:cs="Times New Roman"/>
        </w:rPr>
        <w:t xml:space="preserve"> simplifies administration. The proposed program caps carbon dioxide (CO</w:t>
      </w:r>
      <w:r w:rsidRPr="009128AC">
        <w:rPr>
          <w:rFonts w:cs="Times New Roman"/>
          <w:vertAlign w:val="subscript"/>
        </w:rPr>
        <w:t>2</w:t>
      </w:r>
      <w:r>
        <w:rPr>
          <w:rFonts w:cs="Times New Roman"/>
        </w:rPr>
        <w:t>) emissions from “</w:t>
      </w:r>
      <w:r w:rsidRPr="00AA1AF2">
        <w:rPr>
          <w:rFonts w:cs="Times New Roman"/>
        </w:rPr>
        <w:t>finished motor gasoline and on-road diesel fuel</w:t>
      </w:r>
      <w:r>
        <w:rPr>
          <w:rFonts w:cs="Times New Roman"/>
        </w:rPr>
        <w:t>”</w:t>
      </w:r>
      <w:r w:rsidRPr="00AA1AF2">
        <w:rPr>
          <w:rFonts w:cs="Times New Roman"/>
        </w:rPr>
        <w:t xml:space="preserve"> </w:t>
      </w:r>
      <w:r>
        <w:rPr>
          <w:rFonts w:cs="Times New Roman"/>
        </w:rPr>
        <w:t xml:space="preserve">at the tailpipe.  We assume that non-petroleum vehicle fuels (natural gas and propane) are outside the cap.  </w:t>
      </w:r>
    </w:p>
    <w:p w14:paraId="79B4FC89" w14:textId="77777777" w:rsidR="006F068F" w:rsidRDefault="006F068F" w:rsidP="00995E0F">
      <w:pPr>
        <w:rPr>
          <w:rFonts w:cs="Times New Roman"/>
        </w:rPr>
      </w:pPr>
    </w:p>
    <w:p w14:paraId="62D6ADED" w14:textId="40669640" w:rsidR="006F068F" w:rsidRDefault="00740098" w:rsidP="00995E0F">
      <w:pPr>
        <w:rPr>
          <w:rFonts w:cs="Times New Roman"/>
        </w:rPr>
      </w:pPr>
      <w:r>
        <w:rPr>
          <w:rFonts w:cs="Times New Roman"/>
        </w:rPr>
        <w:t>Biofuels reside in a “to-be-decided” realm (“…</w:t>
      </w:r>
      <w:r w:rsidRPr="00C756BC">
        <w:rPr>
          <w:rFonts w:cs="Times New Roman"/>
        </w:rPr>
        <w:t>jurisdictions are evaluating whether and how to include and treat biofuels in the program</w:t>
      </w:r>
      <w:r>
        <w:rPr>
          <w:rFonts w:cs="Times New Roman"/>
        </w:rPr>
        <w:t xml:space="preserve">”).  </w:t>
      </w:r>
      <w:r w:rsidR="00DB6BFB">
        <w:rPr>
          <w:rFonts w:cs="Times New Roman"/>
        </w:rPr>
        <w:t>Absent a way to treat biofuels in the program, they</w:t>
      </w:r>
      <w:r w:rsidR="00CB0A40">
        <w:rPr>
          <w:rFonts w:cs="Times New Roman"/>
        </w:rPr>
        <w:t xml:space="preserve"> </w:t>
      </w:r>
      <w:r w:rsidR="00D62D12">
        <w:rPr>
          <w:rFonts w:cs="Times New Roman"/>
        </w:rPr>
        <w:t>are deemed to</w:t>
      </w:r>
      <w:r w:rsidR="00DB6BFB">
        <w:rPr>
          <w:rFonts w:cs="Times New Roman"/>
        </w:rPr>
        <w:t xml:space="preserve"> </w:t>
      </w:r>
      <w:r w:rsidR="00CB0A40">
        <w:rPr>
          <w:rFonts w:cs="Times New Roman"/>
        </w:rPr>
        <w:t>contribute to</w:t>
      </w:r>
      <w:r w:rsidR="005D4D55">
        <w:rPr>
          <w:rFonts w:cs="Times New Roman"/>
        </w:rPr>
        <w:t xml:space="preserve"> </w:t>
      </w:r>
      <w:bookmarkStart w:id="0" w:name="_Hlk23231691"/>
      <w:bookmarkStart w:id="1" w:name="_Hlk23232716"/>
      <w:r w:rsidR="005D4D55" w:rsidRPr="005D4D55">
        <w:rPr>
          <w:rFonts w:cs="Times New Roman"/>
        </w:rPr>
        <w:t>CO</w:t>
      </w:r>
      <w:r w:rsidR="005D4D55" w:rsidRPr="005D4D55">
        <w:rPr>
          <w:rFonts w:cs="Times New Roman"/>
          <w:vertAlign w:val="subscript"/>
        </w:rPr>
        <w:t>2</w:t>
      </w:r>
      <w:r w:rsidR="00CB0A40">
        <w:rPr>
          <w:rFonts w:cs="Times New Roman"/>
        </w:rPr>
        <w:t xml:space="preserve"> </w:t>
      </w:r>
      <w:bookmarkEnd w:id="0"/>
      <w:r w:rsidR="005D4D55">
        <w:rPr>
          <w:rFonts w:cs="Times New Roman"/>
        </w:rPr>
        <w:t>a</w:t>
      </w:r>
      <w:bookmarkEnd w:id="1"/>
      <w:r w:rsidR="005D4D55">
        <w:rPr>
          <w:rFonts w:cs="Times New Roman"/>
        </w:rPr>
        <w:t xml:space="preserve">s if </w:t>
      </w:r>
      <w:r w:rsidR="006F09F5">
        <w:rPr>
          <w:rFonts w:cs="Times New Roman"/>
        </w:rPr>
        <w:t xml:space="preserve">they emitted the same net GHG as </w:t>
      </w:r>
      <w:r w:rsidR="005D4D55">
        <w:rPr>
          <w:rFonts w:cs="Times New Roman"/>
        </w:rPr>
        <w:t>fossil fuels</w:t>
      </w:r>
      <w:r w:rsidR="00CB0A40">
        <w:rPr>
          <w:rFonts w:cs="Times New Roman"/>
        </w:rPr>
        <w:t xml:space="preserve">.  </w:t>
      </w:r>
    </w:p>
    <w:p w14:paraId="1E095037" w14:textId="77777777" w:rsidR="009D4154" w:rsidRDefault="009D4154" w:rsidP="00995E0F">
      <w:pPr>
        <w:rPr>
          <w:rFonts w:cs="Times New Roman"/>
        </w:rPr>
      </w:pPr>
    </w:p>
    <w:p w14:paraId="6955A166" w14:textId="0B6D5A64" w:rsidR="008945BD" w:rsidRDefault="00210130" w:rsidP="00995E0F">
      <w:pPr>
        <w:rPr>
          <w:rFonts w:cs="Times New Roman"/>
        </w:rPr>
      </w:pPr>
      <w:r>
        <w:rPr>
          <w:rFonts w:cs="Times New Roman"/>
        </w:rPr>
        <w:t xml:space="preserve">To </w:t>
      </w:r>
      <w:r w:rsidR="00AD55B5">
        <w:rPr>
          <w:rFonts w:cs="Times New Roman"/>
        </w:rPr>
        <w:t>account for biofuels and grow their portion of the fuel supply while limiting the administrative burden, w</w:t>
      </w:r>
      <w:r w:rsidR="007A38CE">
        <w:rPr>
          <w:rFonts w:cs="Times New Roman"/>
        </w:rPr>
        <w:t xml:space="preserve">e propose </w:t>
      </w:r>
      <w:r w:rsidR="00154107">
        <w:rPr>
          <w:rFonts w:cs="Times New Roman"/>
        </w:rPr>
        <w:t xml:space="preserve">three </w:t>
      </w:r>
      <w:r w:rsidR="007A38CE">
        <w:rPr>
          <w:rFonts w:cs="Times New Roman"/>
        </w:rPr>
        <w:t>options</w:t>
      </w:r>
      <w:r w:rsidR="00AD55B5">
        <w:rPr>
          <w:rFonts w:cs="Times New Roman"/>
        </w:rPr>
        <w:t>.</w:t>
      </w:r>
    </w:p>
    <w:p w14:paraId="151DB121" w14:textId="77777777" w:rsidR="007A38CE" w:rsidRPr="007A38CE" w:rsidRDefault="007A38CE" w:rsidP="007A38CE">
      <w:pPr>
        <w:rPr>
          <w:rFonts w:cs="Times New Roman"/>
        </w:rPr>
      </w:pPr>
    </w:p>
    <w:p w14:paraId="21414B88" w14:textId="6CEED192" w:rsidR="007A38CE" w:rsidRPr="007A38CE" w:rsidRDefault="007A38CE" w:rsidP="007A38CE">
      <w:pPr>
        <w:numPr>
          <w:ilvl w:val="0"/>
          <w:numId w:val="1"/>
        </w:numPr>
        <w:rPr>
          <w:rFonts w:cs="Times New Roman"/>
        </w:rPr>
      </w:pPr>
      <w:r w:rsidRPr="007A38CE">
        <w:rPr>
          <w:rFonts w:cs="Times New Roman"/>
        </w:rPr>
        <w:t>Exempt biofuels</w:t>
      </w:r>
      <w:r>
        <w:rPr>
          <w:rFonts w:cs="Times New Roman"/>
        </w:rPr>
        <w:t xml:space="preserve"> </w:t>
      </w:r>
      <w:r w:rsidR="00154107">
        <w:rPr>
          <w:rFonts w:cs="Times New Roman"/>
        </w:rPr>
        <w:t>on a gallon-for-gallon basis as compared to fuels they are replacing</w:t>
      </w:r>
      <w:r w:rsidRPr="007A38CE">
        <w:rPr>
          <w:rFonts w:cs="Times New Roman"/>
        </w:rPr>
        <w:t>.</w:t>
      </w:r>
    </w:p>
    <w:p w14:paraId="60FB51B5" w14:textId="77777777" w:rsidR="00B71253" w:rsidRPr="007A38CE" w:rsidRDefault="00B71253" w:rsidP="00B71253">
      <w:pPr>
        <w:numPr>
          <w:ilvl w:val="0"/>
          <w:numId w:val="1"/>
        </w:numPr>
        <w:rPr>
          <w:rFonts w:cs="Times New Roman"/>
        </w:rPr>
      </w:pPr>
      <w:r>
        <w:rPr>
          <w:rFonts w:cs="Times New Roman"/>
        </w:rPr>
        <w:t>Set aside allowances for renewable fuels, as mentioned in the “Auctions and Allocations” section.</w:t>
      </w:r>
    </w:p>
    <w:p w14:paraId="247A7A87" w14:textId="55998C2E" w:rsidR="007A38CE" w:rsidRDefault="007A38CE" w:rsidP="007A38CE">
      <w:pPr>
        <w:numPr>
          <w:ilvl w:val="0"/>
          <w:numId w:val="1"/>
        </w:numPr>
        <w:rPr>
          <w:rFonts w:cs="Times New Roman"/>
        </w:rPr>
      </w:pPr>
      <w:r w:rsidRPr="007A38CE">
        <w:rPr>
          <w:rFonts w:cs="Times New Roman"/>
        </w:rPr>
        <w:t>Invest in infrastructure for renewable fuels</w:t>
      </w:r>
      <w:r w:rsidR="00480D9C">
        <w:rPr>
          <w:rFonts w:cs="Times New Roman"/>
        </w:rPr>
        <w:t xml:space="preserve"> in the same ways</w:t>
      </w:r>
      <w:r w:rsidRPr="007A38CE">
        <w:rPr>
          <w:rFonts w:cs="Times New Roman"/>
        </w:rPr>
        <w:t xml:space="preserve"> EV infrastructure </w:t>
      </w:r>
      <w:r w:rsidR="00480D9C">
        <w:rPr>
          <w:rFonts w:cs="Times New Roman"/>
        </w:rPr>
        <w:t>would</w:t>
      </w:r>
      <w:r w:rsidR="00480D9C" w:rsidRPr="007A38CE">
        <w:rPr>
          <w:rFonts w:cs="Times New Roman"/>
        </w:rPr>
        <w:t xml:space="preserve"> </w:t>
      </w:r>
      <w:r w:rsidRPr="007A38CE">
        <w:rPr>
          <w:rFonts w:cs="Times New Roman"/>
        </w:rPr>
        <w:t>be an allowable investment.</w:t>
      </w:r>
      <w:r w:rsidR="00A82EBF">
        <w:rPr>
          <w:rFonts w:cs="Times New Roman"/>
        </w:rPr>
        <w:t xml:space="preserve">  </w:t>
      </w:r>
    </w:p>
    <w:p w14:paraId="09BB447E" w14:textId="1904753C" w:rsidR="007A38CE" w:rsidRDefault="00B92A7E" w:rsidP="007A38CE">
      <w:pPr>
        <w:rPr>
          <w:rFonts w:cs="Times New Roman"/>
        </w:rPr>
      </w:pPr>
      <w:r>
        <w:rPr>
          <w:rFonts w:cs="Times New Roman"/>
        </w:rPr>
        <w:t>Option</w:t>
      </w:r>
      <w:r w:rsidR="007A38CE" w:rsidRPr="007A38CE">
        <w:rPr>
          <w:rFonts w:cs="Times New Roman"/>
        </w:rPr>
        <w:t xml:space="preserve"> </w:t>
      </w:r>
      <w:r w:rsidR="00154107">
        <w:rPr>
          <w:rFonts w:cs="Times New Roman"/>
        </w:rPr>
        <w:t>3</w:t>
      </w:r>
      <w:r w:rsidR="00154107" w:rsidRPr="007A38CE">
        <w:rPr>
          <w:rFonts w:cs="Times New Roman"/>
        </w:rPr>
        <w:t xml:space="preserve"> </w:t>
      </w:r>
      <w:r w:rsidR="007A38CE" w:rsidRPr="007A38CE">
        <w:rPr>
          <w:rFonts w:cs="Times New Roman"/>
        </w:rPr>
        <w:t xml:space="preserve">could </w:t>
      </w:r>
      <w:r>
        <w:rPr>
          <w:rFonts w:cs="Times New Roman"/>
        </w:rPr>
        <w:t xml:space="preserve">complement options </w:t>
      </w:r>
      <w:r w:rsidR="007A38CE" w:rsidRPr="007A38CE">
        <w:rPr>
          <w:rFonts w:cs="Times New Roman"/>
        </w:rPr>
        <w:t xml:space="preserve">1 </w:t>
      </w:r>
      <w:r w:rsidR="00B71253">
        <w:rPr>
          <w:rFonts w:cs="Times New Roman"/>
        </w:rPr>
        <w:t>--</w:t>
      </w:r>
      <w:r w:rsidR="007A38CE" w:rsidRPr="007A38CE">
        <w:rPr>
          <w:rFonts w:cs="Times New Roman"/>
        </w:rPr>
        <w:t xml:space="preserve"> </w:t>
      </w:r>
      <w:r w:rsidR="00154107">
        <w:rPr>
          <w:rFonts w:cs="Times New Roman"/>
        </w:rPr>
        <w:t>2</w:t>
      </w:r>
      <w:r w:rsidR="007A38CE" w:rsidRPr="007A38CE">
        <w:rPr>
          <w:rFonts w:cs="Times New Roman"/>
        </w:rPr>
        <w:t xml:space="preserve">.  </w:t>
      </w:r>
      <w:r w:rsidR="007A38CE">
        <w:rPr>
          <w:rFonts w:cs="Times New Roman"/>
        </w:rPr>
        <w:t xml:space="preserve"> </w:t>
      </w:r>
    </w:p>
    <w:p w14:paraId="703F5922" w14:textId="0A52A257" w:rsidR="00B92A7E" w:rsidRDefault="00B92A7E" w:rsidP="007A38CE">
      <w:pPr>
        <w:rPr>
          <w:rFonts w:cs="Times New Roman"/>
        </w:rPr>
      </w:pPr>
    </w:p>
    <w:p w14:paraId="1F2A9596" w14:textId="3A9EEFEA" w:rsidR="00DB5A11" w:rsidRDefault="00020C70" w:rsidP="007A38CE">
      <w:pPr>
        <w:rPr>
          <w:rFonts w:cs="Times New Roman"/>
        </w:rPr>
      </w:pPr>
      <w:r>
        <w:rPr>
          <w:rFonts w:cs="Times New Roman"/>
        </w:rPr>
        <w:t xml:space="preserve">We </w:t>
      </w:r>
      <w:r w:rsidR="001B04F6">
        <w:rPr>
          <w:rFonts w:cs="Times New Roman"/>
        </w:rPr>
        <w:t>acknowledge</w:t>
      </w:r>
      <w:r>
        <w:rPr>
          <w:rFonts w:cs="Times New Roman"/>
        </w:rPr>
        <w:t xml:space="preserve"> that the EPA Renewable Fuel Standard </w:t>
      </w:r>
      <w:r w:rsidR="00E1605C">
        <w:rPr>
          <w:rFonts w:cs="Times New Roman"/>
        </w:rPr>
        <w:t xml:space="preserve">(RFS) </w:t>
      </w:r>
      <w:r>
        <w:rPr>
          <w:rFonts w:cs="Times New Roman"/>
        </w:rPr>
        <w:t>is designed to increase biofuel</w:t>
      </w:r>
      <w:r w:rsidR="00E1605C">
        <w:rPr>
          <w:rFonts w:cs="Times New Roman"/>
        </w:rPr>
        <w:t xml:space="preserve"> as a percentage of transportation fuel</w:t>
      </w:r>
      <w:r>
        <w:rPr>
          <w:rFonts w:cs="Times New Roman"/>
        </w:rPr>
        <w:t xml:space="preserve">, and we note that </w:t>
      </w:r>
      <w:r w:rsidR="00E1605C">
        <w:rPr>
          <w:rFonts w:cs="Times New Roman"/>
        </w:rPr>
        <w:t>the RFS</w:t>
      </w:r>
      <w:r w:rsidR="00905041">
        <w:rPr>
          <w:rFonts w:cs="Times New Roman"/>
        </w:rPr>
        <w:t xml:space="preserve"> distinguishes between types of fuels based on life-cycle emissions of GHG.  Despite this regulatory mechanism, </w:t>
      </w:r>
      <w:r w:rsidR="00644288">
        <w:rPr>
          <w:rFonts w:cs="Times New Roman"/>
        </w:rPr>
        <w:t>the use of ethanol, the main renewable fuel used in Vermont, has not changed since 2011.  And according to VTrans, there is little potential for growth beyond the current use of ethanol at about 10% of gasoline volume.</w:t>
      </w:r>
      <w:r w:rsidR="00644288">
        <w:rPr>
          <w:rStyle w:val="FootnoteReference"/>
          <w:rFonts w:cs="Times New Roman"/>
        </w:rPr>
        <w:footnoteReference w:id="1"/>
      </w:r>
      <w:r w:rsidR="00A864A0">
        <w:rPr>
          <w:rFonts w:cs="Times New Roman"/>
        </w:rPr>
        <w:t xml:space="preserve">  </w:t>
      </w:r>
    </w:p>
    <w:p w14:paraId="556EB584" w14:textId="2A228C52" w:rsidR="00A864A0" w:rsidRDefault="00A864A0" w:rsidP="007A38CE">
      <w:pPr>
        <w:rPr>
          <w:rFonts w:cs="Times New Roman"/>
        </w:rPr>
      </w:pPr>
    </w:p>
    <w:p w14:paraId="0A6DFA9D" w14:textId="321A72ED" w:rsidR="00A864A0" w:rsidRPr="00654551" w:rsidRDefault="00E1605C" w:rsidP="007A38CE">
      <w:pPr>
        <w:rPr>
          <w:rFonts w:cs="Times New Roman"/>
        </w:rPr>
      </w:pPr>
      <w:r>
        <w:rPr>
          <w:rFonts w:cs="Times New Roman"/>
        </w:rPr>
        <w:t>Nonetheless, a</w:t>
      </w:r>
      <w:r w:rsidR="00A864A0">
        <w:rPr>
          <w:rFonts w:cs="Times New Roman"/>
        </w:rPr>
        <w:t>s VTrans notes, t</w:t>
      </w:r>
      <w:r w:rsidR="00A864A0" w:rsidRPr="00A864A0">
        <w:rPr>
          <w:rFonts w:cs="Times New Roman"/>
        </w:rPr>
        <w:t>he 2016 Vermont Comprehensive Energy Plan</w:t>
      </w:r>
      <w:r w:rsidR="00A864A0">
        <w:rPr>
          <w:rFonts w:cs="Times New Roman"/>
        </w:rPr>
        <w:t xml:space="preserve"> </w:t>
      </w:r>
      <w:r w:rsidR="00556F59">
        <w:rPr>
          <w:rFonts w:cs="Times New Roman"/>
        </w:rPr>
        <w:t xml:space="preserve">calls for an annual increase in biofuels use, from about 5.5% of transportation fuel use in 2015.  </w:t>
      </w:r>
      <w:r w:rsidR="00F61841">
        <w:rPr>
          <w:rFonts w:cs="Times New Roman"/>
        </w:rPr>
        <w:t>Increasing biofuel use in transportation</w:t>
      </w:r>
      <w:r w:rsidR="00556F59">
        <w:rPr>
          <w:rFonts w:cs="Times New Roman"/>
        </w:rPr>
        <w:t xml:space="preserve"> is based on achieving 90% renewable energy usage in Vermont </w:t>
      </w:r>
      <w:r w:rsidR="00F61841">
        <w:rPr>
          <w:rFonts w:cs="Times New Roman"/>
        </w:rPr>
        <w:t xml:space="preserve">by 2050 </w:t>
      </w:r>
      <w:r w:rsidR="00556F59">
        <w:rPr>
          <w:rFonts w:cs="Times New Roman"/>
        </w:rPr>
        <w:t xml:space="preserve">while also </w:t>
      </w:r>
      <w:r>
        <w:rPr>
          <w:rFonts w:cs="Times New Roman"/>
        </w:rPr>
        <w:t>achieving</w:t>
      </w:r>
      <w:r w:rsidR="00A156B1">
        <w:rPr>
          <w:rFonts w:cs="Times New Roman"/>
        </w:rPr>
        <w:t xml:space="preserve"> Vermont’s GHG reduction goals.</w:t>
      </w:r>
      <w:r w:rsidR="002A26E0">
        <w:rPr>
          <w:rStyle w:val="FootnoteReference"/>
          <w:rFonts w:cs="Times New Roman"/>
        </w:rPr>
        <w:footnoteReference w:id="2"/>
      </w:r>
      <w:r w:rsidR="00A156B1">
        <w:rPr>
          <w:rFonts w:cs="Times New Roman"/>
        </w:rPr>
        <w:t xml:space="preserve">  There is no </w:t>
      </w:r>
      <w:r>
        <w:rPr>
          <w:rFonts w:cs="Times New Roman"/>
        </w:rPr>
        <w:t xml:space="preserve">policy </w:t>
      </w:r>
      <w:r w:rsidR="00A156B1">
        <w:rPr>
          <w:rFonts w:cs="Times New Roman"/>
        </w:rPr>
        <w:t>mechanism in Vermont</w:t>
      </w:r>
      <w:r w:rsidR="00F61841">
        <w:rPr>
          <w:rFonts w:cs="Times New Roman"/>
        </w:rPr>
        <w:t xml:space="preserve"> transportation sector</w:t>
      </w:r>
      <w:r w:rsidR="00A156B1">
        <w:rPr>
          <w:rFonts w:cs="Times New Roman"/>
        </w:rPr>
        <w:t xml:space="preserve"> to </w:t>
      </w:r>
      <w:r>
        <w:rPr>
          <w:rFonts w:cs="Times New Roman"/>
        </w:rPr>
        <w:t xml:space="preserve">achieve </w:t>
      </w:r>
      <w:r w:rsidR="00405C01">
        <w:rPr>
          <w:rFonts w:cs="Times New Roman"/>
        </w:rPr>
        <w:t xml:space="preserve">these renewable energy </w:t>
      </w:r>
      <w:r w:rsidR="00405C01" w:rsidRPr="00654551">
        <w:rPr>
          <w:rFonts w:cs="Times New Roman"/>
          <w:i/>
          <w:iCs/>
        </w:rPr>
        <w:t>and</w:t>
      </w:r>
      <w:r w:rsidR="00405C01">
        <w:rPr>
          <w:rFonts w:cs="Times New Roman"/>
        </w:rPr>
        <w:t xml:space="preserve"> GHG-reduction </w:t>
      </w:r>
      <w:r>
        <w:rPr>
          <w:rFonts w:cs="Times New Roman"/>
        </w:rPr>
        <w:t>goal</w:t>
      </w:r>
      <w:r w:rsidR="00405C01">
        <w:rPr>
          <w:rFonts w:cs="Times New Roman"/>
        </w:rPr>
        <w:t>s of the CEP</w:t>
      </w:r>
      <w:r>
        <w:rPr>
          <w:rFonts w:cs="Times New Roman"/>
        </w:rPr>
        <w:t xml:space="preserve">.  </w:t>
      </w:r>
    </w:p>
    <w:p w14:paraId="51147479" w14:textId="77777777" w:rsidR="009D34D8" w:rsidRDefault="009D34D8" w:rsidP="007A38CE">
      <w:pPr>
        <w:rPr>
          <w:rFonts w:cs="Times New Roman"/>
        </w:rPr>
      </w:pPr>
    </w:p>
    <w:p w14:paraId="43FA678D" w14:textId="512EF623" w:rsidR="00DB5A11" w:rsidRDefault="009D34D8" w:rsidP="007A38CE">
      <w:pPr>
        <w:rPr>
          <w:rFonts w:cs="Times New Roman"/>
        </w:rPr>
      </w:pPr>
      <w:r>
        <w:rPr>
          <w:rFonts w:cs="Times New Roman"/>
        </w:rPr>
        <w:t xml:space="preserve">By contrast, accounting for biofuels would increase their share of the fuel supply, lowering overall net emissions and thus the price of allowances at auction.  </w:t>
      </w:r>
    </w:p>
    <w:p w14:paraId="5DCC01FF" w14:textId="77777777" w:rsidR="009D34D8" w:rsidRDefault="009D34D8" w:rsidP="007A38CE">
      <w:pPr>
        <w:rPr>
          <w:rFonts w:cs="Times New Roman"/>
        </w:rPr>
      </w:pPr>
    </w:p>
    <w:p w14:paraId="3760F3F1" w14:textId="6A0BE7BC" w:rsidR="00CF3BE0" w:rsidRDefault="00D95A57" w:rsidP="007A38CE">
      <w:pPr>
        <w:rPr>
          <w:rFonts w:cs="Times New Roman"/>
        </w:rPr>
      </w:pPr>
      <w:r>
        <w:rPr>
          <w:rFonts w:cs="Times New Roman"/>
        </w:rPr>
        <w:t xml:space="preserve">By </w:t>
      </w:r>
      <w:r w:rsidR="008B77C5">
        <w:rPr>
          <w:rFonts w:cs="Times New Roman"/>
        </w:rPr>
        <w:t>at</w:t>
      </w:r>
      <w:r>
        <w:rPr>
          <w:rFonts w:cs="Times New Roman"/>
        </w:rPr>
        <w:t xml:space="preserve"> least</w:t>
      </w:r>
      <w:r w:rsidR="008B77C5">
        <w:rPr>
          <w:rFonts w:cs="Times New Roman"/>
        </w:rPr>
        <w:t xml:space="preserve"> exempting</w:t>
      </w:r>
      <w:r w:rsidR="0051348C">
        <w:rPr>
          <w:rFonts w:cs="Times New Roman"/>
        </w:rPr>
        <w:t xml:space="preserve"> biofuels, TCI can spark economic development in rural areas, where such biofuels can be </w:t>
      </w:r>
      <w:r w:rsidR="0085017D">
        <w:rPr>
          <w:rFonts w:cs="Times New Roman"/>
        </w:rPr>
        <w:t>produced</w:t>
      </w:r>
      <w:r w:rsidR="0051348C">
        <w:rPr>
          <w:rFonts w:cs="Times New Roman"/>
        </w:rPr>
        <w:t>.  For example, a</w:t>
      </w:r>
      <w:r w:rsidR="00234FC6">
        <w:rPr>
          <w:rFonts w:cs="Times New Roman"/>
        </w:rPr>
        <w:t xml:space="preserve">t least three states in TCI have abundant resources to make renewable natural gas (RNG).  </w:t>
      </w:r>
      <w:r w:rsidR="00CF3BE0">
        <w:rPr>
          <w:rFonts w:cs="Times New Roman"/>
        </w:rPr>
        <w:t xml:space="preserve">Back-of-the-envelope calculations show that Vermont’s dairy manure could produce enough RNG for about 1,000 heavy-duty trucks (Class 8).  Together, New York and Pennsylvania have ten times the number of cows and thus manure as Vermont.  </w:t>
      </w:r>
    </w:p>
    <w:p w14:paraId="77710E91" w14:textId="77777777" w:rsidR="00CA7E4D" w:rsidRDefault="00CA7E4D" w:rsidP="007A38CE">
      <w:pPr>
        <w:rPr>
          <w:rFonts w:cs="Times New Roman"/>
        </w:rPr>
      </w:pPr>
    </w:p>
    <w:p w14:paraId="69A90118" w14:textId="0CA6D61F" w:rsidR="00B92A7E" w:rsidRDefault="00CF3BE0" w:rsidP="007A38CE">
      <w:pPr>
        <w:rPr>
          <w:rFonts w:cs="Times New Roman"/>
        </w:rPr>
      </w:pPr>
      <w:r>
        <w:rPr>
          <w:rFonts w:cs="Times New Roman"/>
        </w:rPr>
        <w:t>Bring</w:t>
      </w:r>
      <w:r w:rsidR="0085017D">
        <w:rPr>
          <w:rFonts w:cs="Times New Roman"/>
        </w:rPr>
        <w:t>ing</w:t>
      </w:r>
      <w:r>
        <w:rPr>
          <w:rFonts w:cs="Times New Roman"/>
        </w:rPr>
        <w:t xml:space="preserve"> more RNG </w:t>
      </w:r>
      <w:r w:rsidR="005858F1">
        <w:rPr>
          <w:rFonts w:cs="Times New Roman"/>
        </w:rPr>
        <w:t>made from dairy ma</w:t>
      </w:r>
      <w:r w:rsidR="005F0DA6">
        <w:rPr>
          <w:rFonts w:cs="Times New Roman"/>
        </w:rPr>
        <w:t>n</w:t>
      </w:r>
      <w:r w:rsidR="005858F1">
        <w:rPr>
          <w:rFonts w:cs="Times New Roman"/>
        </w:rPr>
        <w:t xml:space="preserve">ure </w:t>
      </w:r>
      <w:r>
        <w:rPr>
          <w:rFonts w:cs="Times New Roman"/>
        </w:rPr>
        <w:t xml:space="preserve">into the vehicle fuel market has the side benefit of </w:t>
      </w:r>
      <w:r w:rsidR="005858F1">
        <w:rPr>
          <w:rFonts w:cs="Times New Roman"/>
        </w:rPr>
        <w:t>destroying methane, a powerful, short-lived GHG (</w:t>
      </w:r>
      <w:r w:rsidR="00690359">
        <w:rPr>
          <w:rFonts w:cs="Times New Roman"/>
        </w:rPr>
        <w:t>twenty-year global warming potential of 84-87</w:t>
      </w:r>
      <w:r w:rsidR="0023609D">
        <w:rPr>
          <w:rStyle w:val="FootnoteReference"/>
          <w:rFonts w:cs="Times New Roman"/>
        </w:rPr>
        <w:footnoteReference w:id="3"/>
      </w:r>
      <w:r w:rsidR="005858F1">
        <w:rPr>
          <w:rFonts w:cs="Times New Roman"/>
        </w:rPr>
        <w:t xml:space="preserve">). </w:t>
      </w:r>
      <w:r w:rsidR="00234FC6">
        <w:rPr>
          <w:rFonts w:cs="Times New Roman"/>
        </w:rPr>
        <w:t xml:space="preserve">When made from dairy manure and used in vehicles, RNG is strongly carbon-negative on a life-cycle basis.  See Appendix A for a comparison </w:t>
      </w:r>
      <w:r w:rsidR="004472D1">
        <w:rPr>
          <w:rFonts w:cs="Times New Roman"/>
        </w:rPr>
        <w:t xml:space="preserve">of vehicle fuels certified under California’s Low-Carbon Fuel Standard, including RNG from dairy manure.  </w:t>
      </w:r>
    </w:p>
    <w:p w14:paraId="040DCC9C" w14:textId="206F3B9D" w:rsidR="0040426E" w:rsidRDefault="0040426E" w:rsidP="007A38CE">
      <w:pPr>
        <w:rPr>
          <w:rFonts w:cs="Times New Roman"/>
        </w:rPr>
      </w:pPr>
    </w:p>
    <w:p w14:paraId="664EBFB0" w14:textId="2A68CF17" w:rsidR="0040426E" w:rsidRPr="007A38CE" w:rsidRDefault="0040426E" w:rsidP="007A38CE">
      <w:pPr>
        <w:rPr>
          <w:rFonts w:cs="Times New Roman"/>
        </w:rPr>
      </w:pPr>
      <w:r>
        <w:rPr>
          <w:rFonts w:cs="Times New Roman"/>
        </w:rPr>
        <w:t xml:space="preserve">Finally, we note that </w:t>
      </w:r>
      <w:r w:rsidR="003C21FB">
        <w:rPr>
          <w:rFonts w:cs="Times New Roman"/>
        </w:rPr>
        <w:t xml:space="preserve">all </w:t>
      </w:r>
      <w:r>
        <w:rPr>
          <w:rFonts w:cs="Times New Roman"/>
        </w:rPr>
        <w:t xml:space="preserve">diesel fuel could be </w:t>
      </w:r>
      <w:r w:rsidR="003C21FB">
        <w:rPr>
          <w:rFonts w:cs="Times New Roman"/>
        </w:rPr>
        <w:t xml:space="preserve">placed </w:t>
      </w:r>
      <w:r>
        <w:rPr>
          <w:rFonts w:cs="Times New Roman"/>
        </w:rPr>
        <w:t>outside TCI regulation</w:t>
      </w:r>
      <w:r w:rsidR="003C21FB">
        <w:rPr>
          <w:rFonts w:cs="Times New Roman"/>
        </w:rPr>
        <w:t xml:space="preserve">.  </w:t>
      </w:r>
      <w:r w:rsidR="00412F60">
        <w:rPr>
          <w:rFonts w:cs="Times New Roman"/>
        </w:rPr>
        <w:t>On-road</w:t>
      </w:r>
      <w:r w:rsidR="003C21FB">
        <w:rPr>
          <w:rFonts w:cs="Times New Roman"/>
        </w:rPr>
        <w:t xml:space="preserve"> uses of diesel account for 16-18% of </w:t>
      </w:r>
      <w:r w:rsidR="00CA7E4D">
        <w:rPr>
          <w:rFonts w:cs="Times New Roman"/>
        </w:rPr>
        <w:t xml:space="preserve">the volume of all </w:t>
      </w:r>
      <w:r w:rsidR="003C21FB">
        <w:rPr>
          <w:rFonts w:cs="Times New Roman"/>
        </w:rPr>
        <w:t xml:space="preserve">ground-transportation </w:t>
      </w:r>
      <w:r w:rsidR="00CA7E4D">
        <w:rPr>
          <w:rFonts w:cs="Times New Roman"/>
        </w:rPr>
        <w:t>fuels in Vermont</w:t>
      </w:r>
      <w:r w:rsidR="001F6CB5">
        <w:rPr>
          <w:rFonts w:cs="Times New Roman"/>
        </w:rPr>
        <w:t>.</w:t>
      </w:r>
      <w:r w:rsidR="001F6CB5">
        <w:rPr>
          <w:rStyle w:val="FootnoteReference"/>
          <w:rFonts w:cs="Times New Roman"/>
        </w:rPr>
        <w:footnoteReference w:id="4"/>
      </w:r>
      <w:r w:rsidR="001F6CB5">
        <w:rPr>
          <w:rFonts w:cs="Times New Roman"/>
        </w:rPr>
        <w:t xml:space="preserve">  As described above, renewable-fuel options to displace diesel fuel </w:t>
      </w:r>
      <w:r w:rsidR="007838C5">
        <w:rPr>
          <w:rFonts w:cs="Times New Roman"/>
        </w:rPr>
        <w:t xml:space="preserve">have no policy </w:t>
      </w:r>
      <w:r w:rsidR="00A9139E">
        <w:rPr>
          <w:rFonts w:cs="Times New Roman"/>
        </w:rPr>
        <w:t xml:space="preserve">that is effectively </w:t>
      </w:r>
      <w:r w:rsidR="00976377">
        <w:rPr>
          <w:rFonts w:cs="Times New Roman"/>
        </w:rPr>
        <w:t>increasing their use</w:t>
      </w:r>
      <w:r w:rsidR="007838C5">
        <w:rPr>
          <w:rFonts w:cs="Times New Roman"/>
        </w:rPr>
        <w:t xml:space="preserve">, and without such policies, we can expect </w:t>
      </w:r>
      <w:r w:rsidR="00976377">
        <w:rPr>
          <w:rFonts w:cs="Times New Roman"/>
        </w:rPr>
        <w:t xml:space="preserve">net </w:t>
      </w:r>
      <w:r w:rsidR="007838C5">
        <w:rPr>
          <w:rFonts w:cs="Times New Roman"/>
        </w:rPr>
        <w:t xml:space="preserve">GHG emissions </w:t>
      </w:r>
      <w:r w:rsidR="00B62893">
        <w:rPr>
          <w:rFonts w:cs="Times New Roman"/>
        </w:rPr>
        <w:t xml:space="preserve">from the freight sector </w:t>
      </w:r>
      <w:r w:rsidR="007838C5">
        <w:rPr>
          <w:rFonts w:cs="Times New Roman"/>
        </w:rPr>
        <w:t xml:space="preserve">to also remain steady.  </w:t>
      </w:r>
      <w:r w:rsidR="001E47B9">
        <w:rPr>
          <w:rFonts w:cs="Times New Roman"/>
        </w:rPr>
        <w:t xml:space="preserve">If TCI cannot account for and/or incentivize biofuels to displace diesel fuel, </w:t>
      </w:r>
      <w:r w:rsidR="00906B4B">
        <w:rPr>
          <w:rFonts w:cs="Times New Roman"/>
        </w:rPr>
        <w:t xml:space="preserve">as it will do for electric vehicles, </w:t>
      </w:r>
      <w:r w:rsidR="00B62893">
        <w:rPr>
          <w:rFonts w:cs="Times New Roman"/>
        </w:rPr>
        <w:t xml:space="preserve">freight haulers will bear an </w:t>
      </w:r>
      <w:r w:rsidR="001B183D">
        <w:rPr>
          <w:rFonts w:cs="Times New Roman"/>
        </w:rPr>
        <w:t xml:space="preserve">inequitable </w:t>
      </w:r>
      <w:r w:rsidR="00B62893">
        <w:rPr>
          <w:rFonts w:cs="Times New Roman"/>
        </w:rPr>
        <w:t xml:space="preserve">burden compared to </w:t>
      </w:r>
      <w:r w:rsidR="00BD2944">
        <w:rPr>
          <w:rFonts w:cs="Times New Roman"/>
        </w:rPr>
        <w:t>non-commercial users of fuel</w:t>
      </w:r>
      <w:r w:rsidR="001E47B9">
        <w:rPr>
          <w:rFonts w:cs="Times New Roman"/>
        </w:rPr>
        <w:t xml:space="preserve">. </w:t>
      </w:r>
      <w:r w:rsidR="00BD2944">
        <w:rPr>
          <w:rFonts w:cs="Times New Roman"/>
        </w:rPr>
        <w:t xml:space="preserve"> </w:t>
      </w:r>
      <w:r w:rsidR="00906B4B">
        <w:rPr>
          <w:rFonts w:cs="Times New Roman"/>
        </w:rPr>
        <w:t>An exemption from TCI would offset t</w:t>
      </w:r>
      <w:r w:rsidR="00BD2944">
        <w:rPr>
          <w:rFonts w:cs="Times New Roman"/>
        </w:rPr>
        <w:t xml:space="preserve">his </w:t>
      </w:r>
      <w:r w:rsidR="00906B4B">
        <w:rPr>
          <w:rFonts w:cs="Times New Roman"/>
        </w:rPr>
        <w:t>unfair outcome</w:t>
      </w:r>
      <w:r w:rsidR="0085017D">
        <w:rPr>
          <w:rFonts w:cs="Times New Roman"/>
        </w:rPr>
        <w:t>, perhaps until TCI can develop a way to account for biofuels</w:t>
      </w:r>
      <w:r w:rsidR="00BD2944">
        <w:rPr>
          <w:rFonts w:cs="Times New Roman"/>
        </w:rPr>
        <w:t xml:space="preserve">.  </w:t>
      </w:r>
    </w:p>
    <w:p w14:paraId="139BD495" w14:textId="77777777" w:rsidR="007A38CE" w:rsidRDefault="007A38CE" w:rsidP="00995E0F">
      <w:pPr>
        <w:rPr>
          <w:rFonts w:cs="Times New Roman"/>
        </w:rPr>
      </w:pPr>
    </w:p>
    <w:p w14:paraId="5C3709F4" w14:textId="77777777" w:rsidR="00EA1DA5" w:rsidRPr="00EA1DA5" w:rsidRDefault="001B614B" w:rsidP="00F22AE7">
      <w:pPr>
        <w:spacing w:before="120" w:after="60"/>
        <w:jc w:val="center"/>
        <w:rPr>
          <w:rFonts w:cs="Times New Roman"/>
          <w:sz w:val="28"/>
          <w:u w:val="single"/>
        </w:rPr>
      </w:pPr>
      <w:r>
        <w:rPr>
          <w:rFonts w:cs="Times New Roman"/>
          <w:sz w:val="28"/>
          <w:u w:val="single"/>
        </w:rPr>
        <w:t xml:space="preserve">The Framework </w:t>
      </w:r>
      <w:r w:rsidR="00492926">
        <w:rPr>
          <w:rFonts w:cs="Times New Roman"/>
          <w:sz w:val="28"/>
          <w:u w:val="single"/>
        </w:rPr>
        <w:t xml:space="preserve">notes that jurisdictions have committed to </w:t>
      </w:r>
      <w:r>
        <w:rPr>
          <w:rFonts w:cs="Times New Roman"/>
          <w:sz w:val="28"/>
          <w:u w:val="single"/>
        </w:rPr>
        <w:t xml:space="preserve">equity and related goals </w:t>
      </w:r>
      <w:r w:rsidR="00492926">
        <w:rPr>
          <w:rFonts w:cs="Times New Roman"/>
          <w:sz w:val="28"/>
          <w:u w:val="single"/>
        </w:rPr>
        <w:t>along with reducing GHG.</w:t>
      </w:r>
      <w:r>
        <w:rPr>
          <w:rFonts w:cs="Times New Roman"/>
          <w:sz w:val="28"/>
          <w:u w:val="single"/>
        </w:rPr>
        <w:t xml:space="preserve"> </w:t>
      </w:r>
      <w:r w:rsidR="00603BAC">
        <w:rPr>
          <w:rFonts w:cs="Times New Roman"/>
          <w:sz w:val="28"/>
          <w:u w:val="single"/>
        </w:rPr>
        <w:t xml:space="preserve">We recommend spending </w:t>
      </w:r>
      <w:r w:rsidR="006D1283">
        <w:rPr>
          <w:rFonts w:cs="Times New Roman"/>
          <w:sz w:val="28"/>
          <w:u w:val="single"/>
        </w:rPr>
        <w:t xml:space="preserve">only </w:t>
      </w:r>
      <w:r w:rsidR="00603BAC">
        <w:rPr>
          <w:rFonts w:cs="Times New Roman"/>
          <w:sz w:val="28"/>
          <w:u w:val="single"/>
        </w:rPr>
        <w:t xml:space="preserve">on equity-related goals that </w:t>
      </w:r>
      <w:r w:rsidR="009E4C75">
        <w:rPr>
          <w:rFonts w:cs="Times New Roman"/>
          <w:sz w:val="28"/>
          <w:u w:val="single"/>
        </w:rPr>
        <w:t>reduc</w:t>
      </w:r>
      <w:r w:rsidR="00603BAC">
        <w:rPr>
          <w:rFonts w:cs="Times New Roman"/>
          <w:sz w:val="28"/>
          <w:u w:val="single"/>
        </w:rPr>
        <w:t>e</w:t>
      </w:r>
      <w:r w:rsidR="009E4C75">
        <w:rPr>
          <w:rFonts w:cs="Times New Roman"/>
          <w:sz w:val="28"/>
          <w:u w:val="single"/>
        </w:rPr>
        <w:t xml:space="preserve"> greenhouse gas emissions in the transportation sector</w:t>
      </w:r>
      <w:r w:rsidR="00603BAC">
        <w:rPr>
          <w:rFonts w:cs="Times New Roman"/>
          <w:sz w:val="28"/>
          <w:u w:val="single"/>
        </w:rPr>
        <w:t xml:space="preserve"> or at least are strongly connected</w:t>
      </w:r>
      <w:r w:rsidR="00632F14">
        <w:rPr>
          <w:rFonts w:cs="Times New Roman"/>
          <w:sz w:val="28"/>
          <w:u w:val="single"/>
        </w:rPr>
        <w:t xml:space="preserve"> to such </w:t>
      </w:r>
      <w:r w:rsidR="008B77C5">
        <w:rPr>
          <w:rFonts w:cs="Times New Roman"/>
          <w:sz w:val="28"/>
          <w:u w:val="single"/>
        </w:rPr>
        <w:t>reductions</w:t>
      </w:r>
      <w:r w:rsidR="009E4C75">
        <w:rPr>
          <w:rFonts w:cs="Times New Roman"/>
          <w:sz w:val="28"/>
          <w:u w:val="single"/>
        </w:rPr>
        <w:t>.</w:t>
      </w:r>
    </w:p>
    <w:p w14:paraId="4685CDD3" w14:textId="77777777" w:rsidR="00632F14" w:rsidRDefault="00632F14" w:rsidP="00EA1DA5">
      <w:pPr>
        <w:rPr>
          <w:rFonts w:cs="Times New Roman"/>
        </w:rPr>
      </w:pPr>
      <w:r>
        <w:rPr>
          <w:rFonts w:cs="Times New Roman"/>
        </w:rPr>
        <w:t>Two examples:</w:t>
      </w:r>
    </w:p>
    <w:p w14:paraId="1635FEFB" w14:textId="0AE92202" w:rsidR="00EA1DA5" w:rsidRPr="00632F14" w:rsidRDefault="001B6C25" w:rsidP="00632F14">
      <w:pPr>
        <w:pStyle w:val="ListParagraph"/>
        <w:numPr>
          <w:ilvl w:val="0"/>
          <w:numId w:val="3"/>
        </w:numPr>
        <w:rPr>
          <w:rFonts w:cs="Times New Roman"/>
        </w:rPr>
      </w:pPr>
      <w:r w:rsidRPr="00632F14">
        <w:rPr>
          <w:rFonts w:cs="Times New Roman"/>
        </w:rPr>
        <w:t>Rural mobility services</w:t>
      </w:r>
      <w:r w:rsidR="006D1283">
        <w:rPr>
          <w:rFonts w:cs="Times New Roman"/>
        </w:rPr>
        <w:t>, now often handled by community action agencies or volunteer networks</w:t>
      </w:r>
      <w:r w:rsidR="00F22AE7">
        <w:rPr>
          <w:rStyle w:val="FootnoteReference"/>
          <w:rFonts w:cs="Times New Roman"/>
        </w:rPr>
        <w:footnoteReference w:id="5"/>
      </w:r>
    </w:p>
    <w:p w14:paraId="3083A92B" w14:textId="77777777" w:rsidR="001B6C25" w:rsidRPr="00632F14" w:rsidRDefault="001B6C25" w:rsidP="00632F14">
      <w:pPr>
        <w:pStyle w:val="ListParagraph"/>
        <w:numPr>
          <w:ilvl w:val="0"/>
          <w:numId w:val="3"/>
        </w:numPr>
        <w:rPr>
          <w:rFonts w:cs="Times New Roman"/>
        </w:rPr>
      </w:pPr>
      <w:r w:rsidRPr="00632F14">
        <w:rPr>
          <w:rFonts w:cs="Times New Roman"/>
        </w:rPr>
        <w:t>Targeting emissions reductions spending to areas of unhealthy air quality and low incomes</w:t>
      </w:r>
      <w:bookmarkStart w:id="3" w:name="_GoBack"/>
      <w:bookmarkEnd w:id="3"/>
    </w:p>
    <w:p w14:paraId="45FDA31F" w14:textId="77777777" w:rsidR="00EA1DA5" w:rsidRPr="00EA1DA5" w:rsidRDefault="00EA1DA5" w:rsidP="00EA1DA5">
      <w:pPr>
        <w:rPr>
          <w:rFonts w:cs="Times New Roman"/>
        </w:rPr>
      </w:pPr>
    </w:p>
    <w:p w14:paraId="2E67C78F" w14:textId="5081FC51" w:rsidR="00EA1DA5" w:rsidRPr="00EA1DA5" w:rsidRDefault="006C459F" w:rsidP="00F22AE7">
      <w:pPr>
        <w:spacing w:before="120" w:after="60"/>
        <w:jc w:val="center"/>
        <w:rPr>
          <w:rFonts w:cs="Times New Roman"/>
          <w:sz w:val="28"/>
          <w:u w:val="single"/>
        </w:rPr>
      </w:pPr>
      <w:r w:rsidRPr="006C459F">
        <w:rPr>
          <w:rFonts w:cs="Times New Roman"/>
          <w:sz w:val="28"/>
          <w:u w:val="single"/>
        </w:rPr>
        <w:t xml:space="preserve">Transparency: we urge TCI’s MOU to include tracking </w:t>
      </w:r>
      <w:r w:rsidR="005F0DA6" w:rsidRPr="005F0DA6">
        <w:rPr>
          <w:rFonts w:cs="Times New Roman"/>
          <w:sz w:val="28"/>
          <w:u w:val="single"/>
        </w:rPr>
        <w:t>CO</w:t>
      </w:r>
      <w:r w:rsidR="005F0DA6" w:rsidRPr="005F0DA6">
        <w:rPr>
          <w:rFonts w:cs="Times New Roman"/>
          <w:sz w:val="28"/>
          <w:u w:val="single"/>
          <w:vertAlign w:val="subscript"/>
        </w:rPr>
        <w:t>2</w:t>
      </w:r>
      <w:r w:rsidR="005F0DA6" w:rsidRPr="005F0DA6">
        <w:rPr>
          <w:rFonts w:cs="Times New Roman"/>
          <w:sz w:val="28"/>
          <w:u w:val="single"/>
        </w:rPr>
        <w:t xml:space="preserve"> </w:t>
      </w:r>
      <w:r w:rsidRPr="006C459F">
        <w:rPr>
          <w:rFonts w:cs="Times New Roman"/>
          <w:sz w:val="28"/>
          <w:u w:val="single"/>
        </w:rPr>
        <w:t xml:space="preserve">reduction of </w:t>
      </w:r>
      <w:r w:rsidR="00A86E0C">
        <w:rPr>
          <w:rFonts w:cs="Times New Roman"/>
          <w:sz w:val="28"/>
          <w:u w:val="single"/>
        </w:rPr>
        <w:t>all</w:t>
      </w:r>
      <w:r w:rsidRPr="006C459F">
        <w:rPr>
          <w:rFonts w:cs="Times New Roman"/>
          <w:sz w:val="28"/>
          <w:u w:val="single"/>
        </w:rPr>
        <w:t xml:space="preserve"> investments</w:t>
      </w:r>
      <w:r w:rsidR="00B71253">
        <w:rPr>
          <w:rFonts w:cs="Times New Roman"/>
          <w:sz w:val="28"/>
          <w:u w:val="single"/>
        </w:rPr>
        <w:t xml:space="preserve"> and set asides</w:t>
      </w:r>
      <w:r w:rsidRPr="006C459F">
        <w:rPr>
          <w:rFonts w:cs="Times New Roman"/>
          <w:sz w:val="28"/>
          <w:u w:val="single"/>
        </w:rPr>
        <w:t xml:space="preserve">, </w:t>
      </w:r>
      <w:r w:rsidR="00976377">
        <w:rPr>
          <w:rFonts w:cs="Times New Roman"/>
          <w:sz w:val="28"/>
          <w:u w:val="single"/>
        </w:rPr>
        <w:t>enabling</w:t>
      </w:r>
      <w:r w:rsidRPr="006C459F">
        <w:rPr>
          <w:rFonts w:cs="Times New Roman"/>
          <w:sz w:val="28"/>
          <w:u w:val="single"/>
        </w:rPr>
        <w:t xml:space="preserve"> program adjustments and improvements</w:t>
      </w:r>
      <w:r w:rsidR="00976377">
        <w:rPr>
          <w:rFonts w:cs="Times New Roman"/>
          <w:sz w:val="28"/>
          <w:u w:val="single"/>
        </w:rPr>
        <w:t>.</w:t>
      </w:r>
      <w:r w:rsidR="005F0DA6">
        <w:rPr>
          <w:rFonts w:cs="Times New Roman"/>
          <w:sz w:val="28"/>
          <w:u w:val="single"/>
        </w:rPr>
        <w:t xml:space="preserve"> </w:t>
      </w:r>
      <w:r w:rsidR="00976377">
        <w:rPr>
          <w:rFonts w:cs="Times New Roman"/>
          <w:sz w:val="28"/>
          <w:u w:val="single"/>
        </w:rPr>
        <w:t xml:space="preserve">Failure to adhere to such provisions should be grounds to </w:t>
      </w:r>
      <w:r w:rsidR="001B04F6">
        <w:rPr>
          <w:rFonts w:cs="Times New Roman"/>
          <w:sz w:val="28"/>
          <w:u w:val="single"/>
        </w:rPr>
        <w:t xml:space="preserve">withhold funds and/or </w:t>
      </w:r>
      <w:r w:rsidR="005F0DA6">
        <w:rPr>
          <w:rFonts w:cs="Times New Roman"/>
          <w:sz w:val="28"/>
          <w:u w:val="single"/>
        </w:rPr>
        <w:t>end a state’s involvement</w:t>
      </w:r>
      <w:r w:rsidRPr="006C459F">
        <w:rPr>
          <w:rFonts w:cs="Times New Roman"/>
          <w:sz w:val="28"/>
          <w:u w:val="single"/>
        </w:rPr>
        <w:t>.</w:t>
      </w:r>
    </w:p>
    <w:p w14:paraId="5E5F96FC" w14:textId="473EEF3F" w:rsidR="00EA1DA5" w:rsidRDefault="00F20F35" w:rsidP="00EA1DA5">
      <w:pPr>
        <w:rPr>
          <w:rFonts w:cs="Times New Roman"/>
        </w:rPr>
      </w:pPr>
      <w:r w:rsidRPr="00F20F35">
        <w:rPr>
          <w:rFonts w:cs="Times New Roman"/>
        </w:rPr>
        <w:t xml:space="preserve">This echoes at least two of the commitments that TCI jurisdictions are making: “Developing complementary policies and priorities for carbon-reduction investments and continually improving the </w:t>
      </w:r>
      <w:r w:rsidRPr="00F20F35">
        <w:rPr>
          <w:rFonts w:cs="Times New Roman"/>
        </w:rPr>
        <w:lastRenderedPageBreak/>
        <w:t>program.”  “Making modifications and adjustments to the program design…”</w:t>
      </w:r>
      <w:r>
        <w:rPr>
          <w:rFonts w:cs="Times New Roman"/>
        </w:rPr>
        <w:t xml:space="preserve">  (page 2 of the </w:t>
      </w:r>
      <w:r w:rsidRPr="00F20F35">
        <w:rPr>
          <w:rFonts w:cs="Times New Roman"/>
        </w:rPr>
        <w:t>Framework for a Draft Regional Policy Proposal</w:t>
      </w:r>
      <w:r>
        <w:rPr>
          <w:rFonts w:cs="Times New Roman"/>
        </w:rPr>
        <w:t>”).</w:t>
      </w:r>
      <w:r w:rsidR="00A86E0C">
        <w:rPr>
          <w:rFonts w:cs="Times New Roman"/>
        </w:rPr>
        <w:t xml:space="preserve">  </w:t>
      </w:r>
    </w:p>
    <w:p w14:paraId="401D199C" w14:textId="77777777" w:rsidR="00412F60" w:rsidRDefault="00412F60" w:rsidP="00EA1DA5">
      <w:pPr>
        <w:rPr>
          <w:rFonts w:cs="Times New Roman"/>
        </w:rPr>
      </w:pPr>
    </w:p>
    <w:p w14:paraId="546D0D64" w14:textId="4BD4DC88" w:rsidR="001E17F5" w:rsidRPr="00EA1DA5" w:rsidRDefault="001E17F5" w:rsidP="00EA1DA5">
      <w:pPr>
        <w:rPr>
          <w:rFonts w:cs="Times New Roman"/>
        </w:rPr>
      </w:pPr>
      <w:r>
        <w:rPr>
          <w:rFonts w:cs="Times New Roman"/>
        </w:rPr>
        <w:t>We are also keenly aware that states in which jurisdictions reside will be tempted to raid the investment funds and use them for non-TCI purposes</w:t>
      </w:r>
      <w:r w:rsidR="00253C07">
        <w:rPr>
          <w:rFonts w:cs="Times New Roman"/>
        </w:rPr>
        <w:t xml:space="preserve">, as has happened with energy programs in many states.  TCI’s MOU should include language that </w:t>
      </w:r>
      <w:r w:rsidR="00E43360">
        <w:rPr>
          <w:rFonts w:cs="Times New Roman"/>
        </w:rPr>
        <w:t>withholds revenues and/or terminates a state’s relationship with the program.</w:t>
      </w:r>
      <w:r w:rsidR="00253C07">
        <w:rPr>
          <w:rFonts w:cs="Times New Roman"/>
        </w:rPr>
        <w:t xml:space="preserve"> </w:t>
      </w:r>
      <w:r w:rsidR="00E43360">
        <w:rPr>
          <w:rFonts w:cs="Times New Roman"/>
        </w:rPr>
        <w:t xml:space="preserve">Withholding and termination could be structured </w:t>
      </w:r>
      <w:r w:rsidR="005F0DA6">
        <w:rPr>
          <w:rFonts w:cs="Times New Roman"/>
        </w:rPr>
        <w:t xml:space="preserve">to occur gradually so that states can plan their departure from TCI.  </w:t>
      </w:r>
    </w:p>
    <w:p w14:paraId="143019D1" w14:textId="77777777" w:rsidR="00EA1DA5" w:rsidRPr="00EA1DA5" w:rsidRDefault="00EA1DA5" w:rsidP="00EA1DA5">
      <w:pPr>
        <w:rPr>
          <w:rFonts w:cs="Times New Roman"/>
        </w:rPr>
      </w:pPr>
    </w:p>
    <w:p w14:paraId="145B195B" w14:textId="77777777" w:rsidR="00EA1DA5" w:rsidRPr="00EA1DA5" w:rsidRDefault="00EA1DA5" w:rsidP="00EA1DA5">
      <w:pPr>
        <w:spacing w:before="120" w:after="60"/>
        <w:rPr>
          <w:rFonts w:cs="Times New Roman"/>
          <w:sz w:val="28"/>
          <w:u w:val="single"/>
        </w:rPr>
      </w:pPr>
    </w:p>
    <w:p w14:paraId="05E874E7" w14:textId="77777777" w:rsidR="00EA1DA5" w:rsidRPr="00EA1DA5" w:rsidRDefault="00EA1DA5" w:rsidP="00EA1DA5">
      <w:pPr>
        <w:rPr>
          <w:rFonts w:cs="Times New Roman"/>
        </w:rPr>
      </w:pPr>
    </w:p>
    <w:p w14:paraId="1BD77AE6" w14:textId="77777777" w:rsidR="00D44C4E" w:rsidRDefault="00F07C47">
      <w:pPr>
        <w:spacing w:after="160" w:line="259" w:lineRule="auto"/>
        <w:rPr>
          <w:rFonts w:cs="Times New Roman"/>
        </w:rPr>
        <w:sectPr w:rsidR="00D44C4E" w:rsidSect="00FC076F">
          <w:footerReference w:type="default" r:id="rId8"/>
          <w:pgSz w:w="12240" w:h="15840"/>
          <w:pgMar w:top="1440" w:right="1440" w:bottom="1440" w:left="1440" w:header="720" w:footer="720" w:gutter="0"/>
          <w:pgNumType w:start="1"/>
          <w:cols w:space="720"/>
          <w:docGrid w:linePitch="360"/>
        </w:sectPr>
      </w:pPr>
      <w:r>
        <w:rPr>
          <w:rFonts w:cs="Times New Roman"/>
        </w:rPr>
        <w:br w:type="page"/>
      </w:r>
    </w:p>
    <w:p w14:paraId="514DD4C6" w14:textId="3F99BA1A" w:rsidR="00EA1DA5" w:rsidRDefault="00F07C47" w:rsidP="002A7F0E">
      <w:pPr>
        <w:pStyle w:val="Heading15"/>
      </w:pPr>
      <w:bookmarkStart w:id="4" w:name="_Hlk23515127"/>
      <w:r>
        <w:lastRenderedPageBreak/>
        <w:t>Appendix</w:t>
      </w:r>
    </w:p>
    <w:p w14:paraId="31E8869F" w14:textId="77777777" w:rsidR="00F07C47" w:rsidRDefault="00F07C47" w:rsidP="00995E0F">
      <w:pPr>
        <w:rPr>
          <w:rFonts w:cs="Times New Roman"/>
        </w:rPr>
      </w:pPr>
    </w:p>
    <w:p w14:paraId="408161AC" w14:textId="1E5BA86A" w:rsidR="00F07C47" w:rsidRDefault="002A7F0E" w:rsidP="00995E0F">
      <w:pPr>
        <w:rPr>
          <w:rFonts w:cs="Times New Roman"/>
        </w:rPr>
      </w:pPr>
      <w:r>
        <w:rPr>
          <w:noProof/>
        </w:rPr>
        <mc:AlternateContent>
          <mc:Choice Requires="wps">
            <w:drawing>
              <wp:anchor distT="0" distB="0" distL="114300" distR="114300" simplePos="0" relativeHeight="251660288" behindDoc="0" locked="0" layoutInCell="1" allowOverlap="1" wp14:anchorId="3D589B83" wp14:editId="747C3087">
                <wp:simplePos x="0" y="0"/>
                <wp:positionH relativeFrom="column">
                  <wp:posOffset>2009955</wp:posOffset>
                </wp:positionH>
                <wp:positionV relativeFrom="paragraph">
                  <wp:posOffset>2262337</wp:posOffset>
                </wp:positionV>
                <wp:extent cx="500332" cy="759125"/>
                <wp:effectExtent l="0" t="0" r="14605" b="22225"/>
                <wp:wrapNone/>
                <wp:docPr id="5" name="Oval 5"/>
                <wp:cNvGraphicFramePr/>
                <a:graphic xmlns:a="http://schemas.openxmlformats.org/drawingml/2006/main">
                  <a:graphicData uri="http://schemas.microsoft.com/office/word/2010/wordprocessingShape">
                    <wps:wsp>
                      <wps:cNvSpPr/>
                      <wps:spPr>
                        <a:xfrm>
                          <a:off x="0" y="0"/>
                          <a:ext cx="500332" cy="759125"/>
                        </a:xfrm>
                        <a:prstGeom prst="ellipse">
                          <a:avLst/>
                        </a:prstGeom>
                        <a:solidFill>
                          <a:schemeClr val="bg1">
                            <a:alpha val="0"/>
                          </a:schemeClr>
                        </a:solidFill>
                        <a:ln w="25400">
                          <a:solidFill>
                            <a:srgbClr val="0CF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1FB8A7" id="Oval 5" o:spid="_x0000_s1026" style="position:absolute;margin-left:158.25pt;margin-top:178.15pt;width:39.4pt;height:5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" fillcolor="white [3212]" strokecolor="#0cf600" strokeweight="2pt">
                <v:fill opacity="0"/>
                <v:stroke joinstyle="miter"/>
              </v:oval>
            </w:pict>
          </mc:Fallback>
        </mc:AlternateContent>
      </w:r>
      <w:r w:rsidR="00F07C47">
        <w:rPr>
          <w:noProof/>
        </w:rPr>
        <w:drawing>
          <wp:inline distT="0" distB="0" distL="0" distR="0" wp14:anchorId="3A33ABEF" wp14:editId="6B57B608">
            <wp:extent cx="5943600" cy="34982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943600" cy="3498215"/>
                    </a:xfrm>
                    <a:prstGeom prst="rect">
                      <a:avLst/>
                    </a:prstGeom>
                    <a:noFill/>
                    <a:ln>
                      <a:noFill/>
                    </a:ln>
                  </pic:spPr>
                </pic:pic>
              </a:graphicData>
            </a:graphic>
          </wp:inline>
        </w:drawing>
      </w:r>
    </w:p>
    <w:p w14:paraId="3E8CCA24" w14:textId="3C2137CA" w:rsidR="00F07C47" w:rsidRDefault="001F2CD4" w:rsidP="00995E0F">
      <w:pPr>
        <w:rPr>
          <w:rFonts w:cs="Times New Roman"/>
        </w:rPr>
      </w:pPr>
      <w:r>
        <w:rPr>
          <w:rFonts w:cs="Times New Roman"/>
        </w:rPr>
        <w:t xml:space="preserve">Page 18:  </w:t>
      </w:r>
      <w:hyperlink r:id="rId11" w:history="1">
        <w:r w:rsidRPr="00856F51">
          <w:rPr>
            <w:rStyle w:val="Hyperlink"/>
            <w:rFonts w:cs="Times New Roman"/>
          </w:rPr>
          <w:t>https://wriorg.s3.amazonaws.com/s3fs-public/production-use-renewable-natural-gas-climate-strategy-united-states.pdf</w:t>
        </w:r>
      </w:hyperlink>
      <w:r w:rsidR="004472D1">
        <w:rPr>
          <w:rFonts w:cs="Times New Roman"/>
        </w:rPr>
        <w:t xml:space="preserve"> </w:t>
      </w:r>
    </w:p>
    <w:p w14:paraId="61660C0F" w14:textId="22E986D3" w:rsidR="00D2680D" w:rsidRDefault="00D2680D" w:rsidP="00995E0F">
      <w:pPr>
        <w:rPr>
          <w:rFonts w:cs="Times New Roman"/>
        </w:rPr>
      </w:pPr>
    </w:p>
    <w:p w14:paraId="540F9C44" w14:textId="77777777" w:rsidR="0038111B" w:rsidRDefault="0038111B" w:rsidP="00995E0F">
      <w:pPr>
        <w:rPr>
          <w:noProof/>
        </w:rPr>
      </w:pPr>
    </w:p>
    <w:p w14:paraId="73E60B4A" w14:textId="3FD42EBC" w:rsidR="00D2680D" w:rsidRDefault="00CF5238" w:rsidP="00995E0F">
      <w:pPr>
        <w:rPr>
          <w:rFonts w:cs="Times New Roman"/>
        </w:rPr>
      </w:pPr>
      <w:r>
        <w:rPr>
          <w:noProof/>
        </w:rPr>
        <w:lastRenderedPageBreak/>
        <mc:AlternateContent>
          <mc:Choice Requires="wps">
            <w:drawing>
              <wp:anchor distT="0" distB="0" distL="114300" distR="114300" simplePos="0" relativeHeight="251659264" behindDoc="0" locked="0" layoutInCell="1" allowOverlap="1" wp14:anchorId="4A11B624" wp14:editId="2202CA6C">
                <wp:simplePos x="0" y="0"/>
                <wp:positionH relativeFrom="column">
                  <wp:posOffset>3144046</wp:posOffset>
                </wp:positionH>
                <wp:positionV relativeFrom="paragraph">
                  <wp:posOffset>744855</wp:posOffset>
                </wp:positionV>
                <wp:extent cx="750627" cy="252483"/>
                <wp:effectExtent l="0" t="0" r="0" b="0"/>
                <wp:wrapNone/>
                <wp:docPr id="4" name="Text Box 4"/>
                <wp:cNvGraphicFramePr/>
                <a:graphic xmlns:a="http://schemas.openxmlformats.org/drawingml/2006/main">
                  <a:graphicData uri="http://schemas.microsoft.com/office/word/2010/wordprocessingShape">
                    <wps:wsp>
                      <wps:cNvSpPr txBox="1"/>
                      <wps:spPr>
                        <a:xfrm>
                          <a:off x="0" y="0"/>
                          <a:ext cx="750627" cy="252483"/>
                        </a:xfrm>
                        <a:prstGeom prst="rect">
                          <a:avLst/>
                        </a:prstGeom>
                        <a:noFill/>
                        <a:ln w="6350">
                          <a:noFill/>
                        </a:ln>
                      </wps:spPr>
                      <wps:txbx>
                        <w:txbxContent>
                          <w:p w14:paraId="071DAEC2" w14:textId="36654FF0" w:rsidR="00CF5238" w:rsidRDefault="00CF5238">
                            <w:pPr>
                              <w:contextualSpacing/>
                            </w:pPr>
                            <w:r>
                              <w:t>(gasoline)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1B624" id="_x0000_t202" coordsize="21600,21600" o:spt="202" path="m,l,21600r21600,l21600,xe">
                <v:stroke joinstyle="miter"/>
                <v:path gradientshapeok="t" o:connecttype="rect"/>
              </v:shapetype>
              <v:shape id="Text Box 4" o:spid="_x0000_s1026" type="#_x0000_t202" style="position:absolute;margin-left:247.55pt;margin-top:58.65pt;width:59.1pt;height:1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" filled="f" stroked="f" strokeweight=".5pt">
                <v:textbox>
                  <w:txbxContent>
                    <w:p w14:paraId="071DAEC2" w14:textId="36654FF0" w:rsidR="00CF5238" w:rsidRDefault="00CF5238">
                      <w:pPr>
                        <w:contextualSpacing/>
                      </w:pPr>
                      <w:r>
                        <w:t>(gasoline)</w:t>
                      </w:r>
                    </w:p>
                  </w:txbxContent>
                </v:textbox>
              </v:shape>
            </w:pict>
          </mc:Fallback>
        </mc:AlternateContent>
      </w:r>
      <w:r w:rsidR="00D2680D">
        <w:rPr>
          <w:noProof/>
        </w:rPr>
        <w:drawing>
          <wp:inline distT="0" distB="0" distL="0" distR="0" wp14:anchorId="5FF637EB" wp14:editId="3AACEB19">
            <wp:extent cx="5889009" cy="433779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8285" t="18650" r="18648" b="11967"/>
                    <a:stretch/>
                  </pic:blipFill>
                  <pic:spPr bwMode="auto">
                    <a:xfrm>
                      <a:off x="0" y="0"/>
                      <a:ext cx="5901863" cy="4347265"/>
                    </a:xfrm>
                    <a:prstGeom prst="rect">
                      <a:avLst/>
                    </a:prstGeom>
                    <a:ln>
                      <a:noFill/>
                    </a:ln>
                    <a:extLst>
                      <a:ext uri="{53640926-AAD7-44D8-BBD7-CCE9431645EC}">
                        <a14:shadowObscured xmlns:a14="http://schemas.microsoft.com/office/drawing/2010/main"/>
                      </a:ext>
                    </a:extLst>
                  </pic:spPr>
                </pic:pic>
              </a:graphicData>
            </a:graphic>
          </wp:inline>
        </w:drawing>
      </w:r>
    </w:p>
    <w:p w14:paraId="37838F95" w14:textId="1FDF33B3" w:rsidR="009546ED" w:rsidRDefault="00DD78B6" w:rsidP="00995E0F">
      <w:pPr>
        <w:rPr>
          <w:rFonts w:cs="Times New Roman"/>
        </w:rPr>
      </w:pPr>
      <w:hyperlink r:id="rId13" w:history="1">
        <w:r w:rsidR="00831571" w:rsidRPr="00666C5D">
          <w:rPr>
            <w:rStyle w:val="Hyperlink"/>
            <w:rFonts w:cs="Times New Roman"/>
          </w:rPr>
          <w:t>https://ww3.arb.ca.gov/fuels/lcfs/fuelpathways/pathwaytable.htm</w:t>
        </w:r>
      </w:hyperlink>
      <w:r w:rsidR="00831571">
        <w:rPr>
          <w:rFonts w:cs="Times New Roman"/>
        </w:rPr>
        <w:t xml:space="preserve"> </w:t>
      </w:r>
    </w:p>
    <w:p w14:paraId="18E16C1F" w14:textId="77777777" w:rsidR="009546ED" w:rsidRDefault="009546ED" w:rsidP="00995E0F">
      <w:pPr>
        <w:rPr>
          <w:rFonts w:cs="Times New Roman"/>
        </w:rPr>
      </w:pPr>
    </w:p>
    <w:p w14:paraId="101DA592" w14:textId="1808CCD3" w:rsidR="00D2680D" w:rsidRDefault="0038111B" w:rsidP="00995E0F">
      <w:pPr>
        <w:rPr>
          <w:rFonts w:cs="Times New Roman"/>
        </w:rPr>
      </w:pPr>
      <w:r>
        <w:rPr>
          <w:rFonts w:cs="Times New Roman"/>
        </w:rPr>
        <w:t xml:space="preserve">“CARBOB” = California standard gasoline, i.e. </w:t>
      </w:r>
      <w:r w:rsidRPr="0038111B">
        <w:rPr>
          <w:rFonts w:cs="Times New Roman"/>
        </w:rPr>
        <w:t xml:space="preserve">California Reformulated Gasoline </w:t>
      </w:r>
      <w:proofErr w:type="spellStart"/>
      <w:r w:rsidRPr="0038111B">
        <w:rPr>
          <w:rFonts w:cs="Times New Roman"/>
        </w:rPr>
        <w:t>Blendstock</w:t>
      </w:r>
      <w:proofErr w:type="spellEnd"/>
      <w:r w:rsidRPr="0038111B">
        <w:rPr>
          <w:rFonts w:cs="Times New Roman"/>
        </w:rPr>
        <w:t xml:space="preserve"> for Oxygenate Blending</w:t>
      </w:r>
    </w:p>
    <w:bookmarkEnd w:id="4"/>
    <w:p w14:paraId="3FAB7483" w14:textId="00EE5079" w:rsidR="00574121" w:rsidRDefault="00574121">
      <w:pPr>
        <w:spacing w:after="160" w:line="259" w:lineRule="auto"/>
        <w:rPr>
          <w:rFonts w:cs="Times New Roman"/>
        </w:rPr>
      </w:pPr>
      <w:r>
        <w:rPr>
          <w:rFonts w:cs="Times New Roman"/>
        </w:rPr>
        <w:br w:type="page"/>
      </w:r>
    </w:p>
    <w:p w14:paraId="5191F312" w14:textId="6C12D84C" w:rsidR="00D2680D" w:rsidRDefault="00574121" w:rsidP="00995E0F">
      <w:pPr>
        <w:rPr>
          <w:rFonts w:cs="Times New Roman"/>
        </w:rPr>
      </w:pPr>
      <w:r w:rsidRPr="00574121">
        <w:rPr>
          <w:rFonts w:cs="Times New Roman"/>
          <w:noProof/>
        </w:rPr>
        <w:lastRenderedPageBreak/>
        <w:drawing>
          <wp:inline distT="0" distB="0" distL="0" distR="0" wp14:anchorId="578EADBF" wp14:editId="55A2F595">
            <wp:extent cx="5771072" cy="7805128"/>
            <wp:effectExtent l="0" t="0" r="127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7888" cy="7814346"/>
                    </a:xfrm>
                    <a:prstGeom prst="rect">
                      <a:avLst/>
                    </a:prstGeom>
                    <a:noFill/>
                    <a:ln>
                      <a:noFill/>
                    </a:ln>
                  </pic:spPr>
                </pic:pic>
              </a:graphicData>
            </a:graphic>
          </wp:inline>
        </w:drawing>
      </w:r>
    </w:p>
    <w:p w14:paraId="7025FF4F" w14:textId="1654B231" w:rsidR="00D41E79" w:rsidRPr="00D41E79" w:rsidRDefault="00D41E79" w:rsidP="00995E0F">
      <w:pPr>
        <w:rPr>
          <w:rFonts w:cs="Times New Roman"/>
        </w:rPr>
      </w:pPr>
      <w:r>
        <w:rPr>
          <w:i/>
          <w:iCs/>
        </w:rPr>
        <w:t>Comprehensive Energy Plan 2016</w:t>
      </w:r>
      <w:r>
        <w:t xml:space="preserve">.  </w:t>
      </w:r>
      <w:hyperlink r:id="rId15" w:history="1">
        <w:r w:rsidRPr="00666C5D">
          <w:rPr>
            <w:rStyle w:val="Hyperlink"/>
          </w:rPr>
          <w:t>https://publicservice.vermont.gov/publications-resources/publications/energy_plan</w:t>
        </w:r>
      </w:hyperlink>
      <w:r>
        <w:t xml:space="preserve"> </w:t>
      </w:r>
    </w:p>
    <w:sectPr w:rsidR="00D41E79" w:rsidRPr="00D41E79" w:rsidSect="00EC2A20">
      <w:headerReference w:type="default" r:id="rId16"/>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A0014" w14:textId="77777777" w:rsidR="00644288" w:rsidRDefault="00644288" w:rsidP="00644288">
      <w:r>
        <w:separator/>
      </w:r>
    </w:p>
  </w:endnote>
  <w:endnote w:type="continuationSeparator" w:id="0">
    <w:p w14:paraId="6C9E4735" w14:textId="77777777" w:rsidR="00644288" w:rsidRDefault="00644288" w:rsidP="0064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756B7" w14:textId="18665F75" w:rsidR="00242D69" w:rsidRDefault="00412F60">
    <w:pPr>
      <w:pStyle w:val="Footer"/>
    </w:pPr>
    <w:r>
      <w:tab/>
    </w:r>
    <w:r w:rsidR="00E24DE6">
      <w:t xml:space="preserve">Page </w:t>
    </w:r>
    <w:r w:rsidR="00FC4C9C">
      <w:fldChar w:fldCharType="begin"/>
    </w:r>
    <w:r w:rsidR="00FC4C9C">
      <w:instrText xml:space="preserve"> PAGE   \* MERGEFORMAT </w:instrText>
    </w:r>
    <w:r w:rsidR="00FC4C9C">
      <w:fldChar w:fldCharType="separate"/>
    </w:r>
    <w:r w:rsidR="00FC4C9C">
      <w:rPr>
        <w:noProof/>
      </w:rPr>
      <w:t>1</w:t>
    </w:r>
    <w:r w:rsidR="00FC4C9C">
      <w:fldChar w:fldCharType="end"/>
    </w:r>
    <w:r w:rsidR="00FC4C9C">
      <w:t xml:space="preserve"> of </w:t>
    </w:r>
    <w:r w:rsidR="00242D69">
      <w:t>3, except appendix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91DD1" w14:textId="3017D734" w:rsidR="00EC2A20" w:rsidRDefault="00EC2A20">
    <w:pPr>
      <w:pStyle w:val="Footer"/>
    </w:pPr>
    <w:r>
      <w:tab/>
      <w:t>Page A</w:t>
    </w:r>
    <w:r>
      <w:fldChar w:fldCharType="begin"/>
    </w:r>
    <w:r>
      <w:instrText xml:space="preserve"> PAGE   \* MERGEFORMAT </w:instrText>
    </w:r>
    <w:r>
      <w:fldChar w:fldCharType="separate"/>
    </w:r>
    <w:r>
      <w:rPr>
        <w:noProof/>
      </w:rPr>
      <w:t>1</w:t>
    </w:r>
    <w:r>
      <w:fldChar w:fldCharType="end"/>
    </w:r>
    <w:r>
      <w:t xml:space="preserve"> of 3 appendix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30E1F" w14:textId="77777777" w:rsidR="00644288" w:rsidRDefault="00644288" w:rsidP="00644288">
      <w:r>
        <w:separator/>
      </w:r>
    </w:p>
  </w:footnote>
  <w:footnote w:type="continuationSeparator" w:id="0">
    <w:p w14:paraId="3342507A" w14:textId="77777777" w:rsidR="00644288" w:rsidRDefault="00644288" w:rsidP="00644288">
      <w:r>
        <w:continuationSeparator/>
      </w:r>
    </w:p>
  </w:footnote>
  <w:footnote w:id="1">
    <w:p w14:paraId="4C8BE3E3" w14:textId="10F01428" w:rsidR="00644288" w:rsidRPr="00644288" w:rsidRDefault="00644288">
      <w:pPr>
        <w:pStyle w:val="FootnoteText"/>
      </w:pPr>
      <w:r>
        <w:rPr>
          <w:rStyle w:val="FootnoteReference"/>
        </w:rPr>
        <w:footnoteRef/>
      </w:r>
      <w:r>
        <w:t xml:space="preserve"> </w:t>
      </w:r>
      <w:r>
        <w:rPr>
          <w:i/>
          <w:iCs/>
        </w:rPr>
        <w:t>The Vermont Energy Profile – 2017</w:t>
      </w:r>
      <w:r w:rsidR="00303C90">
        <w:t>,</w:t>
      </w:r>
      <w:r>
        <w:t xml:space="preserve"> page</w:t>
      </w:r>
      <w:r w:rsidR="00303C90">
        <w:t xml:space="preserve"> 43</w:t>
      </w:r>
      <w:r w:rsidR="00A864A0">
        <w:t>: “</w:t>
      </w:r>
      <w:r w:rsidR="00A864A0" w:rsidRPr="00A864A0">
        <w:t xml:space="preserve">Consumption of blended ethanol has been essentially stable since 2011. [...] There is relatively little potential for growth in blended ethanol sales </w:t>
      </w:r>
      <w:proofErr w:type="gramStart"/>
      <w:r w:rsidR="00A864A0" w:rsidRPr="00A864A0">
        <w:t>in the near future</w:t>
      </w:r>
      <w:proofErr w:type="gramEnd"/>
      <w:r w:rsidR="00A864A0" w:rsidRPr="00A864A0">
        <w:t>. ... the CEP [the 2016 Vermont Comprehensive Energy Plan] does not support the promotion of E-85 infrastructure because of environmental concerns about ethanol production.</w:t>
      </w:r>
      <w:r w:rsidR="00A864A0">
        <w:t>”</w:t>
      </w:r>
    </w:p>
  </w:footnote>
  <w:footnote w:id="2">
    <w:p w14:paraId="25A6F0A1" w14:textId="123C06FC" w:rsidR="00EE23E9" w:rsidRDefault="002A26E0" w:rsidP="00EE23E9">
      <w:pPr>
        <w:pStyle w:val="FootnoteText"/>
      </w:pPr>
      <w:r>
        <w:rPr>
          <w:rStyle w:val="FootnoteReference"/>
        </w:rPr>
        <w:footnoteRef/>
      </w:r>
      <w:r>
        <w:t xml:space="preserve"> </w:t>
      </w:r>
      <w:bookmarkStart w:id="2" w:name="_Hlk23758281"/>
      <w:r w:rsidR="00EE23E9">
        <w:rPr>
          <w:i/>
          <w:iCs/>
        </w:rPr>
        <w:t>Comprehensive Energy Plan 2016</w:t>
      </w:r>
      <w:bookmarkEnd w:id="2"/>
      <w:r w:rsidR="00EE23E9">
        <w:t>, page 38: “…this CEP establishes two goals for reduction in GHG emissions from Vermont’s energy use, which are consistent with the renewable energy and energy use goals also established here:</w:t>
      </w:r>
    </w:p>
    <w:p w14:paraId="106A1CB2" w14:textId="21CB214D" w:rsidR="00EE23E9" w:rsidRDefault="00EE23E9" w:rsidP="00654551">
      <w:pPr>
        <w:pStyle w:val="FootnoteText"/>
        <w:numPr>
          <w:ilvl w:val="0"/>
          <w:numId w:val="4"/>
        </w:numPr>
      </w:pPr>
      <w:r>
        <w:t>40% reduction below 1990 levels by 2030;</w:t>
      </w:r>
    </w:p>
    <w:p w14:paraId="3E01AE53" w14:textId="465DEBCE" w:rsidR="002A26E0" w:rsidRDefault="00EE23E9" w:rsidP="00654551">
      <w:pPr>
        <w:pStyle w:val="FootnoteText"/>
        <w:numPr>
          <w:ilvl w:val="0"/>
          <w:numId w:val="4"/>
        </w:numPr>
      </w:pPr>
      <w:r>
        <w:t>80% to 95% reduction below 1990 levels by 2050.</w:t>
      </w:r>
      <w:r w:rsidR="00412F60">
        <w:t>”</w:t>
      </w:r>
    </w:p>
    <w:p w14:paraId="1459B757" w14:textId="2C249AF0" w:rsidR="00EE23E9" w:rsidRPr="00EE23E9" w:rsidRDefault="00EE23E9" w:rsidP="00EE23E9">
      <w:pPr>
        <w:pStyle w:val="FootnoteText"/>
      </w:pPr>
      <w:r>
        <w:t>Page 39: “</w:t>
      </w:r>
      <w:r w:rsidRPr="00EE23E9">
        <w:t>This section presents the modeling results from the Total Energy Study that inform DPS’s recommended sector-specific 2025 benchmark targets, introduced above in section 4.3. Exhibits 4‑7 and 4</w:t>
      </w:r>
      <w:r>
        <w:t>-</w:t>
      </w:r>
      <w:r w:rsidRPr="00EE23E9">
        <w:t>8 depict an energy future in which the levels of end-use consumption of electricity and biofuels are each more than 70% greater in 2050 than they are today.</w:t>
      </w:r>
      <w:r w:rsidR="00CA7DCB">
        <w:rPr>
          <w:i/>
          <w:iCs/>
        </w:rPr>
        <w:t xml:space="preserve">[footnote regarding the difference between Exhibits 4-7 and 4-8 omitted] </w:t>
      </w:r>
      <w:r w:rsidRPr="00EE23E9">
        <w:t>To reach this point would require average growth rates in usage of those fuels of more than 2% per year.</w:t>
      </w:r>
      <w:r>
        <w:t>”</w:t>
      </w:r>
      <w:r w:rsidR="00CA7DCB">
        <w:t xml:space="preserve">  </w:t>
      </w:r>
      <w:r w:rsidR="00574121">
        <w:t xml:space="preserve">See Appendix for Exhibit 4-8, showing the </w:t>
      </w:r>
      <w:r w:rsidR="00654D55">
        <w:t xml:space="preserve">illustrative scenario of </w:t>
      </w:r>
      <w:r w:rsidR="00574121">
        <w:t>increase</w:t>
      </w:r>
      <w:r w:rsidR="00654D55">
        <w:t>d</w:t>
      </w:r>
      <w:r w:rsidR="00574121">
        <w:t xml:space="preserve"> biofuel usage</w:t>
      </w:r>
      <w:r w:rsidR="00654D55">
        <w:t xml:space="preserve"> to achieve renewable energy and GHG reduction goals</w:t>
      </w:r>
      <w:r w:rsidR="00574121">
        <w:t xml:space="preserve">.  </w:t>
      </w:r>
    </w:p>
  </w:footnote>
  <w:footnote w:id="3">
    <w:p w14:paraId="40AF892F" w14:textId="1E06416B" w:rsidR="0023609D" w:rsidRDefault="0023609D">
      <w:pPr>
        <w:pStyle w:val="FootnoteText"/>
      </w:pPr>
      <w:r>
        <w:rPr>
          <w:rStyle w:val="FootnoteReference"/>
        </w:rPr>
        <w:footnoteRef/>
      </w:r>
      <w:r>
        <w:t xml:space="preserve"> </w:t>
      </w:r>
      <w:hyperlink r:id="rId1" w:history="1">
        <w:r w:rsidRPr="00666C5D">
          <w:rPr>
            <w:rStyle w:val="Hyperlink"/>
          </w:rPr>
          <w:t>https://www.epa.gov/ghgemissions/understanding-global-warming-potentials</w:t>
        </w:r>
      </w:hyperlink>
      <w:r>
        <w:t xml:space="preserve"> </w:t>
      </w:r>
    </w:p>
  </w:footnote>
  <w:footnote w:id="4">
    <w:p w14:paraId="2FAFAEC6" w14:textId="38F94C47" w:rsidR="001F6CB5" w:rsidRPr="001F6CB5" w:rsidRDefault="001F6CB5">
      <w:pPr>
        <w:pStyle w:val="FootnoteText"/>
      </w:pPr>
      <w:r>
        <w:rPr>
          <w:rStyle w:val="FootnoteReference"/>
        </w:rPr>
        <w:footnoteRef/>
      </w:r>
      <w:r>
        <w:t xml:space="preserve"> </w:t>
      </w:r>
      <w:r>
        <w:rPr>
          <w:i/>
          <w:iCs/>
        </w:rPr>
        <w:t>The Vermont Transportation Energy Profile – 2017</w:t>
      </w:r>
      <w:r>
        <w:t>.  Page 31.  2016 data.</w:t>
      </w:r>
    </w:p>
  </w:footnote>
  <w:footnote w:id="5">
    <w:p w14:paraId="2CCA4ED1" w14:textId="71C17679" w:rsidR="00F22AE7" w:rsidRDefault="00F22AE7" w:rsidP="00F22AE7">
      <w:pPr>
        <w:pStyle w:val="FootnoteText"/>
      </w:pPr>
      <w:r>
        <w:rPr>
          <w:rStyle w:val="FootnoteReference"/>
        </w:rPr>
        <w:footnoteRef/>
      </w:r>
      <w:r>
        <w:t xml:space="preserve"> See for example </w:t>
      </w:r>
      <w:hyperlink r:id="rId2" w:history="1">
        <w:r w:rsidRPr="00537E8D">
          <w:rPr>
            <w:rStyle w:val="Hyperlink"/>
          </w:rPr>
          <w:t>https://www.cvcoa.org/rsvp.html</w:t>
        </w:r>
      </w:hyperlink>
      <w:r>
        <w:t>; “</w:t>
      </w:r>
      <w:r>
        <w:t>Meals on Wheels: Provide a nutritious meal, check on well-being, offer socialization and a smile – all in one delivery.</w:t>
      </w:r>
      <w:r w:rsidR="00DD78B6">
        <w:t xml:space="preserve"> […] </w:t>
      </w:r>
      <w:r>
        <w:t>Transportation: Help your older neighbors remain connected to their communities by providing rides to the senior center, grocery store and medical appointments.</w:t>
      </w:r>
      <w:r w:rsidR="00DD78B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EB457" w14:textId="77777777" w:rsidR="00FC076F" w:rsidRDefault="00FC0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E7006"/>
    <w:multiLevelType w:val="hybridMultilevel"/>
    <w:tmpl w:val="D562B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9C62B8"/>
    <w:multiLevelType w:val="hybridMultilevel"/>
    <w:tmpl w:val="75E2C63E"/>
    <w:lvl w:ilvl="0" w:tplc="A572ABF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1995272"/>
    <w:multiLevelType w:val="hybridMultilevel"/>
    <w:tmpl w:val="4DC6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5BD"/>
    <w:rsid w:val="00020C70"/>
    <w:rsid w:val="00021265"/>
    <w:rsid w:val="0004072E"/>
    <w:rsid w:val="00087D00"/>
    <w:rsid w:val="000C7E28"/>
    <w:rsid w:val="000F5EA5"/>
    <w:rsid w:val="001477E7"/>
    <w:rsid w:val="00154107"/>
    <w:rsid w:val="00194072"/>
    <w:rsid w:val="001B04F6"/>
    <w:rsid w:val="001B183D"/>
    <w:rsid w:val="001B614B"/>
    <w:rsid w:val="001B6C25"/>
    <w:rsid w:val="001E17F5"/>
    <w:rsid w:val="001E47B9"/>
    <w:rsid w:val="001F2CD4"/>
    <w:rsid w:val="001F6CB5"/>
    <w:rsid w:val="00210130"/>
    <w:rsid w:val="00234FC6"/>
    <w:rsid w:val="0023609D"/>
    <w:rsid w:val="00242D69"/>
    <w:rsid w:val="00253C07"/>
    <w:rsid w:val="00276692"/>
    <w:rsid w:val="002A26E0"/>
    <w:rsid w:val="002A7F0E"/>
    <w:rsid w:val="00303C90"/>
    <w:rsid w:val="0038111B"/>
    <w:rsid w:val="003A502C"/>
    <w:rsid w:val="003C21FB"/>
    <w:rsid w:val="003F0916"/>
    <w:rsid w:val="0040426E"/>
    <w:rsid w:val="00405C01"/>
    <w:rsid w:val="004118FF"/>
    <w:rsid w:val="00412F60"/>
    <w:rsid w:val="0044654D"/>
    <w:rsid w:val="004472D1"/>
    <w:rsid w:val="00480D9C"/>
    <w:rsid w:val="00492926"/>
    <w:rsid w:val="004B4BED"/>
    <w:rsid w:val="004C4CC0"/>
    <w:rsid w:val="004D7671"/>
    <w:rsid w:val="0050188C"/>
    <w:rsid w:val="0051348C"/>
    <w:rsid w:val="00556F59"/>
    <w:rsid w:val="0056073B"/>
    <w:rsid w:val="00566D97"/>
    <w:rsid w:val="00574121"/>
    <w:rsid w:val="005858F1"/>
    <w:rsid w:val="00585EA7"/>
    <w:rsid w:val="005C6921"/>
    <w:rsid w:val="005D4D55"/>
    <w:rsid w:val="005F0DA6"/>
    <w:rsid w:val="00603BAC"/>
    <w:rsid w:val="00632F14"/>
    <w:rsid w:val="00644288"/>
    <w:rsid w:val="00654551"/>
    <w:rsid w:val="00654D55"/>
    <w:rsid w:val="00690359"/>
    <w:rsid w:val="006B776D"/>
    <w:rsid w:val="006C459F"/>
    <w:rsid w:val="006C71B0"/>
    <w:rsid w:val="006D1283"/>
    <w:rsid w:val="006F068F"/>
    <w:rsid w:val="006F09F5"/>
    <w:rsid w:val="00740098"/>
    <w:rsid w:val="007626AA"/>
    <w:rsid w:val="00763A38"/>
    <w:rsid w:val="007763D0"/>
    <w:rsid w:val="007838C5"/>
    <w:rsid w:val="007911A4"/>
    <w:rsid w:val="007A38CE"/>
    <w:rsid w:val="00831571"/>
    <w:rsid w:val="0085017D"/>
    <w:rsid w:val="008945BD"/>
    <w:rsid w:val="00894977"/>
    <w:rsid w:val="008B77C5"/>
    <w:rsid w:val="00903F6F"/>
    <w:rsid w:val="00905041"/>
    <w:rsid w:val="00906B4B"/>
    <w:rsid w:val="009128AC"/>
    <w:rsid w:val="00937E46"/>
    <w:rsid w:val="009546ED"/>
    <w:rsid w:val="00976377"/>
    <w:rsid w:val="00995E0F"/>
    <w:rsid w:val="009D34D8"/>
    <w:rsid w:val="009D4154"/>
    <w:rsid w:val="009E4C75"/>
    <w:rsid w:val="009E55B4"/>
    <w:rsid w:val="009F0BB4"/>
    <w:rsid w:val="00A044F5"/>
    <w:rsid w:val="00A156B1"/>
    <w:rsid w:val="00A40871"/>
    <w:rsid w:val="00A82EBF"/>
    <w:rsid w:val="00A864A0"/>
    <w:rsid w:val="00A86E0C"/>
    <w:rsid w:val="00A9139E"/>
    <w:rsid w:val="00AA1AF2"/>
    <w:rsid w:val="00AD55B5"/>
    <w:rsid w:val="00B36F37"/>
    <w:rsid w:val="00B51082"/>
    <w:rsid w:val="00B62893"/>
    <w:rsid w:val="00B71253"/>
    <w:rsid w:val="00B92A7E"/>
    <w:rsid w:val="00BC0756"/>
    <w:rsid w:val="00BD19CD"/>
    <w:rsid w:val="00BD2944"/>
    <w:rsid w:val="00BE150C"/>
    <w:rsid w:val="00C42EF9"/>
    <w:rsid w:val="00C45197"/>
    <w:rsid w:val="00C756BC"/>
    <w:rsid w:val="00C95382"/>
    <w:rsid w:val="00CA0827"/>
    <w:rsid w:val="00CA7DCB"/>
    <w:rsid w:val="00CA7E4D"/>
    <w:rsid w:val="00CB0A40"/>
    <w:rsid w:val="00CC2CD7"/>
    <w:rsid w:val="00CD6A5A"/>
    <w:rsid w:val="00CF031C"/>
    <w:rsid w:val="00CF1CA6"/>
    <w:rsid w:val="00CF3BE0"/>
    <w:rsid w:val="00CF5238"/>
    <w:rsid w:val="00D15F30"/>
    <w:rsid w:val="00D2680D"/>
    <w:rsid w:val="00D41E79"/>
    <w:rsid w:val="00D44C4E"/>
    <w:rsid w:val="00D62D12"/>
    <w:rsid w:val="00D95A57"/>
    <w:rsid w:val="00DB5A11"/>
    <w:rsid w:val="00DB6BFB"/>
    <w:rsid w:val="00DD78B6"/>
    <w:rsid w:val="00DF356E"/>
    <w:rsid w:val="00E1605C"/>
    <w:rsid w:val="00E24DE6"/>
    <w:rsid w:val="00E43360"/>
    <w:rsid w:val="00E635A2"/>
    <w:rsid w:val="00EA1DA5"/>
    <w:rsid w:val="00EC121E"/>
    <w:rsid w:val="00EC2A20"/>
    <w:rsid w:val="00EE23E9"/>
    <w:rsid w:val="00EE30BA"/>
    <w:rsid w:val="00EF6E45"/>
    <w:rsid w:val="00F07C47"/>
    <w:rsid w:val="00F20F35"/>
    <w:rsid w:val="00F22AE7"/>
    <w:rsid w:val="00F61841"/>
    <w:rsid w:val="00F83880"/>
    <w:rsid w:val="00FC076F"/>
    <w:rsid w:val="00FC4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6A05FF"/>
  <w15:chartTrackingRefBased/>
  <w15:docId w15:val="{E36D8194-529D-4F9C-A5B1-3B16A200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BB4"/>
    <w:pPr>
      <w:spacing w:after="0" w:line="240" w:lineRule="auto"/>
    </w:pPr>
    <w:rPr>
      <w:rFonts w:ascii="Times New Roman" w:hAnsi="Times New Roman"/>
    </w:rPr>
  </w:style>
  <w:style w:type="paragraph" w:styleId="Heading1">
    <w:name w:val="heading 1"/>
    <w:basedOn w:val="Normal"/>
    <w:next w:val="Normal"/>
    <w:link w:val="Heading1Char"/>
    <w:uiPriority w:val="9"/>
    <w:qFormat/>
    <w:rsid w:val="00B510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A502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5">
    <w:name w:val="Heading 1.5"/>
    <w:basedOn w:val="Normal"/>
    <w:next w:val="Normal"/>
    <w:link w:val="Heading15Char"/>
    <w:autoRedefine/>
    <w:qFormat/>
    <w:rsid w:val="002A7F0E"/>
    <w:pPr>
      <w:spacing w:before="120" w:after="60"/>
      <w:jc w:val="center"/>
    </w:pPr>
    <w:rPr>
      <w:rFonts w:cs="Times New Roman"/>
      <w:sz w:val="28"/>
      <w:u w:val="single"/>
    </w:rPr>
  </w:style>
  <w:style w:type="character" w:customStyle="1" w:styleId="Heading15Char">
    <w:name w:val="Heading 1.5 Char"/>
    <w:basedOn w:val="DefaultParagraphFont"/>
    <w:link w:val="Heading15"/>
    <w:rsid w:val="002A7F0E"/>
    <w:rPr>
      <w:rFonts w:ascii="Times New Roman" w:hAnsi="Times New Roman" w:cs="Times New Roman"/>
      <w:sz w:val="28"/>
      <w:u w:val="single"/>
    </w:rPr>
  </w:style>
  <w:style w:type="paragraph" w:customStyle="1" w:styleId="Answer">
    <w:name w:val="Answer"/>
    <w:basedOn w:val="Normal"/>
    <w:autoRedefine/>
    <w:qFormat/>
    <w:rsid w:val="007626AA"/>
    <w:pPr>
      <w:spacing w:before="60" w:after="60"/>
    </w:pPr>
    <w:rPr>
      <w:rFonts w:cs="Times New Roman"/>
      <w:b/>
      <w:color w:val="000000" w:themeColor="text1"/>
      <w:sz w:val="24"/>
      <w:szCs w:val="24"/>
      <w:lang w:val="en"/>
    </w:rPr>
  </w:style>
  <w:style w:type="paragraph" w:customStyle="1" w:styleId="Question">
    <w:name w:val="Question"/>
    <w:basedOn w:val="Normal"/>
    <w:next w:val="Normal"/>
    <w:qFormat/>
    <w:rsid w:val="00A044F5"/>
    <w:pPr>
      <w:spacing w:before="240" w:after="120"/>
    </w:pPr>
    <w:rPr>
      <w:rFonts w:cs="Times New Roman"/>
      <w:sz w:val="24"/>
      <w:szCs w:val="24"/>
      <w:u w:val="single"/>
      <w:lang w:val="en"/>
    </w:rPr>
  </w:style>
  <w:style w:type="paragraph" w:customStyle="1" w:styleId="Heading2TNR">
    <w:name w:val="Heading 2 TNR"/>
    <w:basedOn w:val="Heading2"/>
    <w:next w:val="Normal"/>
    <w:link w:val="Heading2TNRChar"/>
    <w:qFormat/>
    <w:rsid w:val="0044654D"/>
    <w:pPr>
      <w:spacing w:line="259" w:lineRule="auto"/>
    </w:pPr>
    <w:rPr>
      <w:rFonts w:ascii="Times New Roman" w:hAnsi="Times New Roman"/>
      <w:sz w:val="28"/>
    </w:rPr>
  </w:style>
  <w:style w:type="character" w:customStyle="1" w:styleId="Heading2TNRChar">
    <w:name w:val="Heading 2 TNR Char"/>
    <w:basedOn w:val="Heading2Char"/>
    <w:link w:val="Heading2TNR"/>
    <w:rsid w:val="0044654D"/>
    <w:rPr>
      <w:rFonts w:ascii="Times New Roman" w:eastAsiaTheme="majorEastAsia" w:hAnsi="Times New Roman" w:cstheme="majorBidi"/>
      <w:color w:val="2F5496" w:themeColor="accent1" w:themeShade="BF"/>
      <w:sz w:val="28"/>
      <w:szCs w:val="26"/>
    </w:rPr>
  </w:style>
  <w:style w:type="character" w:customStyle="1" w:styleId="Heading2Char">
    <w:name w:val="Heading 2 Char"/>
    <w:basedOn w:val="DefaultParagraphFont"/>
    <w:link w:val="Heading2"/>
    <w:uiPriority w:val="9"/>
    <w:semiHidden/>
    <w:rsid w:val="003A502C"/>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EA1D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DA5"/>
    <w:rPr>
      <w:rFonts w:ascii="Segoe UI" w:hAnsi="Segoe UI" w:cs="Segoe UI"/>
      <w:sz w:val="18"/>
      <w:szCs w:val="18"/>
    </w:rPr>
  </w:style>
  <w:style w:type="character" w:styleId="Hyperlink">
    <w:name w:val="Hyperlink"/>
    <w:basedOn w:val="DefaultParagraphFont"/>
    <w:uiPriority w:val="99"/>
    <w:unhideWhenUsed/>
    <w:rsid w:val="004472D1"/>
    <w:rPr>
      <w:color w:val="0563C1" w:themeColor="hyperlink"/>
      <w:u w:val="single"/>
    </w:rPr>
  </w:style>
  <w:style w:type="character" w:styleId="UnresolvedMention">
    <w:name w:val="Unresolved Mention"/>
    <w:basedOn w:val="DefaultParagraphFont"/>
    <w:uiPriority w:val="99"/>
    <w:semiHidden/>
    <w:unhideWhenUsed/>
    <w:rsid w:val="004472D1"/>
    <w:rPr>
      <w:color w:val="605E5C"/>
      <w:shd w:val="clear" w:color="auto" w:fill="E1DFDD"/>
    </w:rPr>
  </w:style>
  <w:style w:type="paragraph" w:styleId="ListParagraph">
    <w:name w:val="List Paragraph"/>
    <w:basedOn w:val="Normal"/>
    <w:uiPriority w:val="34"/>
    <w:qFormat/>
    <w:rsid w:val="00632F14"/>
    <w:pPr>
      <w:ind w:left="720"/>
      <w:contextualSpacing/>
    </w:pPr>
  </w:style>
  <w:style w:type="character" w:customStyle="1" w:styleId="Heading1Char">
    <w:name w:val="Heading 1 Char"/>
    <w:basedOn w:val="DefaultParagraphFont"/>
    <w:link w:val="Heading1"/>
    <w:uiPriority w:val="9"/>
    <w:rsid w:val="00B51082"/>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D62D12"/>
    <w:rPr>
      <w:sz w:val="16"/>
      <w:szCs w:val="16"/>
    </w:rPr>
  </w:style>
  <w:style w:type="paragraph" w:styleId="CommentText">
    <w:name w:val="annotation text"/>
    <w:basedOn w:val="Normal"/>
    <w:link w:val="CommentTextChar"/>
    <w:uiPriority w:val="99"/>
    <w:semiHidden/>
    <w:unhideWhenUsed/>
    <w:rsid w:val="00D62D12"/>
    <w:rPr>
      <w:sz w:val="20"/>
      <w:szCs w:val="20"/>
    </w:rPr>
  </w:style>
  <w:style w:type="character" w:customStyle="1" w:styleId="CommentTextChar">
    <w:name w:val="Comment Text Char"/>
    <w:basedOn w:val="DefaultParagraphFont"/>
    <w:link w:val="CommentText"/>
    <w:uiPriority w:val="99"/>
    <w:semiHidden/>
    <w:rsid w:val="00D62D1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62D12"/>
    <w:rPr>
      <w:b/>
      <w:bCs/>
    </w:rPr>
  </w:style>
  <w:style w:type="character" w:customStyle="1" w:styleId="CommentSubjectChar">
    <w:name w:val="Comment Subject Char"/>
    <w:basedOn w:val="CommentTextChar"/>
    <w:link w:val="CommentSubject"/>
    <w:uiPriority w:val="99"/>
    <w:semiHidden/>
    <w:rsid w:val="00D62D12"/>
    <w:rPr>
      <w:rFonts w:ascii="Times New Roman" w:hAnsi="Times New Roman"/>
      <w:b/>
      <w:bCs/>
      <w:sz w:val="20"/>
      <w:szCs w:val="20"/>
    </w:rPr>
  </w:style>
  <w:style w:type="paragraph" w:styleId="FootnoteText">
    <w:name w:val="footnote text"/>
    <w:basedOn w:val="Normal"/>
    <w:link w:val="FootnoteTextChar"/>
    <w:uiPriority w:val="99"/>
    <w:semiHidden/>
    <w:unhideWhenUsed/>
    <w:rsid w:val="00644288"/>
    <w:rPr>
      <w:sz w:val="20"/>
      <w:szCs w:val="20"/>
    </w:rPr>
  </w:style>
  <w:style w:type="character" w:customStyle="1" w:styleId="FootnoteTextChar">
    <w:name w:val="Footnote Text Char"/>
    <w:basedOn w:val="DefaultParagraphFont"/>
    <w:link w:val="FootnoteText"/>
    <w:uiPriority w:val="99"/>
    <w:semiHidden/>
    <w:rsid w:val="00644288"/>
    <w:rPr>
      <w:rFonts w:ascii="Times New Roman" w:hAnsi="Times New Roman"/>
      <w:sz w:val="20"/>
      <w:szCs w:val="20"/>
    </w:rPr>
  </w:style>
  <w:style w:type="character" w:styleId="FootnoteReference">
    <w:name w:val="footnote reference"/>
    <w:basedOn w:val="DefaultParagraphFont"/>
    <w:uiPriority w:val="99"/>
    <w:semiHidden/>
    <w:unhideWhenUsed/>
    <w:rsid w:val="00644288"/>
    <w:rPr>
      <w:vertAlign w:val="superscript"/>
    </w:rPr>
  </w:style>
  <w:style w:type="character" w:styleId="FollowedHyperlink">
    <w:name w:val="FollowedHyperlink"/>
    <w:basedOn w:val="DefaultParagraphFont"/>
    <w:uiPriority w:val="99"/>
    <w:semiHidden/>
    <w:unhideWhenUsed/>
    <w:rsid w:val="0085017D"/>
    <w:rPr>
      <w:color w:val="954F72" w:themeColor="followedHyperlink"/>
      <w:u w:val="single"/>
    </w:rPr>
  </w:style>
  <w:style w:type="paragraph" w:styleId="Header">
    <w:name w:val="header"/>
    <w:basedOn w:val="Normal"/>
    <w:link w:val="HeaderChar"/>
    <w:uiPriority w:val="99"/>
    <w:unhideWhenUsed/>
    <w:rsid w:val="00412F60"/>
    <w:pPr>
      <w:tabs>
        <w:tab w:val="center" w:pos="4680"/>
        <w:tab w:val="right" w:pos="9360"/>
      </w:tabs>
    </w:pPr>
  </w:style>
  <w:style w:type="character" w:customStyle="1" w:styleId="HeaderChar">
    <w:name w:val="Header Char"/>
    <w:basedOn w:val="DefaultParagraphFont"/>
    <w:link w:val="Header"/>
    <w:uiPriority w:val="99"/>
    <w:rsid w:val="00412F60"/>
    <w:rPr>
      <w:rFonts w:ascii="Times New Roman" w:hAnsi="Times New Roman"/>
    </w:rPr>
  </w:style>
  <w:style w:type="paragraph" w:styleId="Footer">
    <w:name w:val="footer"/>
    <w:basedOn w:val="Normal"/>
    <w:link w:val="FooterChar"/>
    <w:uiPriority w:val="99"/>
    <w:unhideWhenUsed/>
    <w:rsid w:val="00412F60"/>
    <w:pPr>
      <w:tabs>
        <w:tab w:val="center" w:pos="4680"/>
        <w:tab w:val="right" w:pos="9360"/>
      </w:tabs>
    </w:pPr>
  </w:style>
  <w:style w:type="character" w:customStyle="1" w:styleId="FooterChar">
    <w:name w:val="Footer Char"/>
    <w:basedOn w:val="DefaultParagraphFont"/>
    <w:link w:val="Footer"/>
    <w:uiPriority w:val="99"/>
    <w:rsid w:val="00412F6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897477">
      <w:bodyDiv w:val="1"/>
      <w:marLeft w:val="0"/>
      <w:marRight w:val="0"/>
      <w:marTop w:val="0"/>
      <w:marBottom w:val="0"/>
      <w:divBdr>
        <w:top w:val="none" w:sz="0" w:space="0" w:color="auto"/>
        <w:left w:val="none" w:sz="0" w:space="0" w:color="auto"/>
        <w:bottom w:val="none" w:sz="0" w:space="0" w:color="auto"/>
        <w:right w:val="none" w:sz="0" w:space="0" w:color="auto"/>
      </w:divBdr>
    </w:div>
    <w:div w:id="1645037655">
      <w:bodyDiv w:val="1"/>
      <w:marLeft w:val="0"/>
      <w:marRight w:val="0"/>
      <w:marTop w:val="0"/>
      <w:marBottom w:val="0"/>
      <w:divBdr>
        <w:top w:val="none" w:sz="0" w:space="0" w:color="auto"/>
        <w:left w:val="none" w:sz="0" w:space="0" w:color="auto"/>
        <w:bottom w:val="none" w:sz="0" w:space="0" w:color="auto"/>
        <w:right w:val="none" w:sz="0" w:space="0" w:color="auto"/>
      </w:divBdr>
    </w:div>
    <w:div w:id="191168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3.arb.ca.gov/fuels/lcfs/fuelpathways/pathwaytable.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ransportationandclimate.org/sites/default/files/TCI-Framework_10-01-2019.pdf" TargetMode="Externa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riorg.s3.amazonaws.com/s3fs-public/production-use-renewable-natural-gas-climate-strategy-united-states.pdf" TargetMode="External"/><Relationship Id="rId5" Type="http://schemas.openxmlformats.org/officeDocument/2006/relationships/footnotes" Target="footnotes.xml"/><Relationship Id="rId15" Type="http://schemas.openxmlformats.org/officeDocument/2006/relationships/hyperlink" Target="https://publicservice.vermont.gov/publications-resources/publications/energy_plan" TargetMode="External"/><Relationship Id="rId10" Type="http://schemas.openxmlformats.org/officeDocument/2006/relationships/image" Target="cid:image005.png@01D564CB.3D889E8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2" Type="http://schemas.openxmlformats.org/officeDocument/2006/relationships/hyperlink" Target="https://www.cvcoa.org/rsvp.html" TargetMode="External"/><Relationship Id="rId1" Type="http://schemas.openxmlformats.org/officeDocument/2006/relationships/hyperlink" Target="https://www.epa.gov/ghgemissions/understanding-global-warming-potent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DePillis, Alex</dc:creator>
  <cp:keywords/>
  <dc:description/>
  <cp:lastModifiedBy>DePillis, Alex</cp:lastModifiedBy>
  <cp:revision>3</cp:revision>
  <dcterms:created xsi:type="dcterms:W3CDTF">2019-11-05T21:33:00Z</dcterms:created>
  <dcterms:modified xsi:type="dcterms:W3CDTF">2019-11-05T21:36:00Z</dcterms:modified>
</cp:coreProperties>
</file>