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035A" w14:textId="39E1758E" w:rsidR="00856BB6" w:rsidRPr="002048C3" w:rsidRDefault="004A57A9" w:rsidP="0037329F">
      <w:pPr>
        <w:jc w:val="righ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Michelle</w:t>
      </w:r>
      <w:r w:rsidR="00856BB6" w:rsidRPr="002048C3">
        <w:rPr>
          <w:rFonts w:asciiTheme="majorHAnsi" w:hAnsiTheme="majorHAnsi" w:cstheme="majorHAnsi"/>
          <w:lang w:val="en-US"/>
        </w:rPr>
        <w:t xml:space="preserve"> Chong</w:t>
      </w:r>
    </w:p>
    <w:p w14:paraId="7708A44A" w14:textId="4016BD3D" w:rsidR="00856BB6" w:rsidRPr="002048C3" w:rsidRDefault="00856BB6" w:rsidP="0037329F">
      <w:pPr>
        <w:jc w:val="right"/>
        <w:rPr>
          <w:rFonts w:asciiTheme="majorHAnsi" w:hAnsiTheme="majorHAnsi" w:cstheme="majorHAnsi"/>
          <w:lang w:val="en-US"/>
        </w:rPr>
      </w:pPr>
      <w:r w:rsidRPr="002048C3">
        <w:rPr>
          <w:rFonts w:asciiTheme="majorHAnsi" w:hAnsiTheme="majorHAnsi" w:cstheme="majorHAnsi"/>
          <w:lang w:val="en-US"/>
        </w:rPr>
        <w:t>Sustainability Masters Student</w:t>
      </w:r>
      <w:r w:rsidR="002048C3">
        <w:rPr>
          <w:rFonts w:asciiTheme="majorHAnsi" w:hAnsiTheme="majorHAnsi" w:cstheme="majorHAnsi"/>
          <w:lang w:val="en-US"/>
        </w:rPr>
        <w:t xml:space="preserve">, </w:t>
      </w:r>
      <w:r w:rsidRPr="002048C3">
        <w:rPr>
          <w:rFonts w:asciiTheme="majorHAnsi" w:hAnsiTheme="majorHAnsi" w:cstheme="majorHAnsi"/>
          <w:lang w:val="en-US"/>
        </w:rPr>
        <w:t>Harvard Extension School</w:t>
      </w:r>
    </w:p>
    <w:p w14:paraId="3F3663B4" w14:textId="07B64A86" w:rsidR="002048C3" w:rsidRPr="002048C3" w:rsidRDefault="000D5356" w:rsidP="000D5356">
      <w:pPr>
        <w:ind w:left="2160"/>
        <w:jc w:val="center"/>
        <w:rPr>
          <w:rFonts w:asciiTheme="majorHAnsi" w:eastAsia="Times New Roman" w:hAnsiTheme="majorHAnsi" w:cstheme="majorHAnsi"/>
          <w:color w:val="202124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color w:val="202124"/>
          <w:shd w:val="clear" w:color="auto" w:fill="FFFFFF"/>
          <w:lang w:eastAsia="en-GB"/>
        </w:rPr>
        <w:t xml:space="preserve">            </w:t>
      </w:r>
      <w:r w:rsidR="002048C3">
        <w:rPr>
          <w:rFonts w:asciiTheme="majorHAnsi" w:eastAsia="Times New Roman" w:hAnsiTheme="majorHAnsi" w:cstheme="majorHAnsi"/>
          <w:color w:val="202124"/>
          <w:shd w:val="clear" w:color="auto" w:fill="FFFFFF"/>
          <w:lang w:eastAsia="en-GB"/>
        </w:rPr>
        <w:t xml:space="preserve">Contact Address: </w:t>
      </w:r>
      <w:r w:rsidR="002048C3" w:rsidRPr="002048C3">
        <w:rPr>
          <w:rFonts w:asciiTheme="majorHAnsi" w:eastAsia="Times New Roman" w:hAnsiTheme="majorHAnsi" w:cstheme="majorHAnsi"/>
          <w:color w:val="202124"/>
          <w:shd w:val="clear" w:color="auto" w:fill="FFFFFF"/>
          <w:lang w:eastAsia="en-GB"/>
        </w:rPr>
        <w:t xml:space="preserve">510 Townsend Street, San Francisco, CA 94103 </w:t>
      </w:r>
    </w:p>
    <w:p w14:paraId="6E768453" w14:textId="77777777" w:rsidR="00856BB6" w:rsidRPr="002048C3" w:rsidRDefault="00856BB6" w:rsidP="0037329F">
      <w:pPr>
        <w:rPr>
          <w:rFonts w:asciiTheme="majorHAnsi" w:hAnsiTheme="majorHAnsi" w:cstheme="majorHAnsi"/>
          <w:lang w:val="en-US"/>
        </w:rPr>
      </w:pPr>
    </w:p>
    <w:p w14:paraId="0892B5F9" w14:textId="6D2A3D38" w:rsidR="0057593D" w:rsidRPr="002048C3" w:rsidRDefault="00856BB6" w:rsidP="0037329F">
      <w:pPr>
        <w:rPr>
          <w:rFonts w:asciiTheme="majorHAnsi" w:hAnsiTheme="majorHAnsi" w:cstheme="majorHAnsi"/>
          <w:lang w:val="en-US"/>
        </w:rPr>
      </w:pPr>
      <w:r w:rsidRPr="002048C3">
        <w:rPr>
          <w:rFonts w:asciiTheme="majorHAnsi" w:hAnsiTheme="majorHAnsi" w:cstheme="majorHAnsi"/>
          <w:lang w:val="en-US"/>
        </w:rPr>
        <w:t>Ma</w:t>
      </w:r>
      <w:r w:rsidR="005B6AC0">
        <w:rPr>
          <w:rFonts w:asciiTheme="majorHAnsi" w:hAnsiTheme="majorHAnsi" w:cstheme="majorHAnsi"/>
          <w:lang w:val="en-US"/>
        </w:rPr>
        <w:t>y 7</w:t>
      </w:r>
      <w:r w:rsidRPr="002048C3">
        <w:rPr>
          <w:rFonts w:asciiTheme="majorHAnsi" w:hAnsiTheme="majorHAnsi" w:cstheme="majorHAnsi"/>
          <w:lang w:val="en-US"/>
        </w:rPr>
        <w:t>, 2021</w:t>
      </w:r>
    </w:p>
    <w:p w14:paraId="7B599770" w14:textId="3809BAEE" w:rsidR="00856BB6" w:rsidRPr="002048C3" w:rsidRDefault="00856BB6" w:rsidP="0037329F">
      <w:pPr>
        <w:rPr>
          <w:rFonts w:asciiTheme="majorHAnsi" w:hAnsiTheme="majorHAnsi" w:cstheme="majorHAnsi"/>
          <w:lang w:val="en-US"/>
        </w:rPr>
      </w:pPr>
    </w:p>
    <w:p w14:paraId="51C6A28C" w14:textId="29E9AF2C" w:rsidR="00A07E0B" w:rsidRPr="002048C3" w:rsidRDefault="000B656B" w:rsidP="0037329F">
      <w:pPr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  <w:b/>
          <w:bCs/>
        </w:rPr>
        <w:t xml:space="preserve">By Electronic Submission to </w:t>
      </w:r>
      <w:r w:rsidR="00CE180B" w:rsidRPr="002048C3">
        <w:rPr>
          <w:rFonts w:asciiTheme="majorHAnsi" w:hAnsiTheme="majorHAnsi" w:cstheme="majorHAnsi"/>
          <w:b/>
          <w:bCs/>
        </w:rPr>
        <w:t>the TCI-P Public Input Portal at</w:t>
      </w:r>
      <w:r w:rsidR="000D5356">
        <w:rPr>
          <w:rFonts w:asciiTheme="majorHAnsi" w:eastAsia="Times New Roman" w:hAnsiTheme="majorHAnsi" w:cstheme="majorHAnsi"/>
          <w:b/>
          <w:bCs/>
          <w:color w:val="666666"/>
          <w:shd w:val="clear" w:color="auto" w:fill="F7F9FA"/>
          <w:lang w:eastAsia="en-GB"/>
        </w:rPr>
        <w:t xml:space="preserve"> </w:t>
      </w:r>
      <w:hyperlink r:id="rId7" w:history="1">
        <w:r w:rsidR="00CE180B" w:rsidRPr="002048C3">
          <w:rPr>
            <w:rStyle w:val="Hyperlink"/>
            <w:rFonts w:asciiTheme="majorHAnsi" w:hAnsiTheme="majorHAnsi" w:cstheme="majorHAnsi"/>
          </w:rPr>
          <w:t>www.transportationandclimate.org/</w:t>
        </w:r>
      </w:hyperlink>
    </w:p>
    <w:p w14:paraId="01A22C88" w14:textId="77777777" w:rsidR="000B656B" w:rsidRPr="002048C3" w:rsidRDefault="000B656B" w:rsidP="0037329F">
      <w:pPr>
        <w:rPr>
          <w:rFonts w:asciiTheme="majorHAnsi" w:eastAsia="Times New Roman" w:hAnsiTheme="majorHAnsi" w:cstheme="majorHAnsi"/>
          <w:lang w:eastAsia="en-GB"/>
        </w:rPr>
      </w:pPr>
    </w:p>
    <w:p w14:paraId="4C56C241" w14:textId="32D35B4D" w:rsidR="00A07E0B" w:rsidRPr="002048C3" w:rsidRDefault="00A07E0B" w:rsidP="0037329F">
      <w:pPr>
        <w:pStyle w:val="Default"/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</w:rPr>
        <w:t xml:space="preserve">Kathleen A. </w:t>
      </w:r>
      <w:proofErr w:type="spellStart"/>
      <w:r w:rsidRPr="002048C3">
        <w:rPr>
          <w:rFonts w:asciiTheme="majorHAnsi" w:hAnsiTheme="majorHAnsi" w:cstheme="majorHAnsi"/>
        </w:rPr>
        <w:t>Theoharides</w:t>
      </w:r>
      <w:proofErr w:type="spellEnd"/>
      <w:r w:rsidRPr="002048C3">
        <w:rPr>
          <w:rFonts w:asciiTheme="majorHAnsi" w:hAnsiTheme="majorHAnsi" w:cstheme="majorHAnsi"/>
        </w:rPr>
        <w:t xml:space="preserve">, Chair </w:t>
      </w:r>
    </w:p>
    <w:p w14:paraId="376718F2" w14:textId="77777777" w:rsidR="00A07E0B" w:rsidRPr="002048C3" w:rsidRDefault="00A07E0B" w:rsidP="0037329F">
      <w:pPr>
        <w:pStyle w:val="Default"/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</w:rPr>
        <w:t xml:space="preserve">Transportation &amp; Climate Initiative of the Northeast and Mid-Atlantic States </w:t>
      </w:r>
    </w:p>
    <w:p w14:paraId="0934D3E2" w14:textId="77777777" w:rsidR="00A07E0B" w:rsidRPr="002048C3" w:rsidRDefault="00A07E0B" w:rsidP="0037329F">
      <w:pPr>
        <w:pStyle w:val="Default"/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</w:rPr>
        <w:t xml:space="preserve">Massachusetts Executive Office of Energy and Environmental Affairs </w:t>
      </w:r>
    </w:p>
    <w:p w14:paraId="4AB14205" w14:textId="77777777" w:rsidR="00A07E0B" w:rsidRPr="002048C3" w:rsidRDefault="00A07E0B" w:rsidP="0037329F">
      <w:pPr>
        <w:pStyle w:val="Default"/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</w:rPr>
        <w:t xml:space="preserve">100 Cambridge Street, Suite 900 </w:t>
      </w:r>
    </w:p>
    <w:p w14:paraId="68550537" w14:textId="08ED03C0" w:rsidR="00A07E0B" w:rsidRPr="002048C3" w:rsidRDefault="00A07E0B" w:rsidP="0037329F">
      <w:pPr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</w:rPr>
        <w:t>Boston, MA 02114</w:t>
      </w:r>
    </w:p>
    <w:p w14:paraId="07B5A43C" w14:textId="61B30D63" w:rsidR="00E65E36" w:rsidRPr="002048C3" w:rsidRDefault="00E65E36" w:rsidP="0037329F">
      <w:pPr>
        <w:rPr>
          <w:rFonts w:asciiTheme="majorHAnsi" w:hAnsiTheme="majorHAnsi" w:cstheme="majorHAnsi"/>
        </w:rPr>
      </w:pPr>
    </w:p>
    <w:p w14:paraId="1CB7A0D7" w14:textId="6BD53331" w:rsidR="00A420DB" w:rsidRPr="002048C3" w:rsidRDefault="00A87DC7" w:rsidP="00A420DB">
      <w:pPr>
        <w:rPr>
          <w:rFonts w:asciiTheme="majorHAnsi" w:hAnsiTheme="majorHAnsi" w:cstheme="majorHAnsi"/>
          <w:shd w:val="clear" w:color="auto" w:fill="FFFFFF"/>
        </w:rPr>
      </w:pPr>
      <w:r w:rsidRPr="002048C3">
        <w:rPr>
          <w:rFonts w:asciiTheme="majorHAnsi" w:hAnsiTheme="majorHAnsi" w:cstheme="majorHAnsi"/>
          <w:shd w:val="clear" w:color="auto" w:fill="FFFFFF"/>
        </w:rPr>
        <w:t xml:space="preserve">Ned Lamont, </w:t>
      </w:r>
      <w:r w:rsidR="007F5AA7" w:rsidRPr="002048C3">
        <w:rPr>
          <w:rFonts w:asciiTheme="majorHAnsi" w:hAnsiTheme="majorHAnsi" w:cstheme="majorHAnsi"/>
          <w:shd w:val="clear" w:color="auto" w:fill="FFFFFF"/>
        </w:rPr>
        <w:t>Connecticut</w:t>
      </w:r>
      <w:r w:rsidRPr="002048C3">
        <w:rPr>
          <w:rFonts w:asciiTheme="majorHAnsi" w:hAnsiTheme="majorHAnsi" w:cstheme="majorHAnsi"/>
          <w:shd w:val="clear" w:color="auto" w:fill="FFFFFF"/>
        </w:rPr>
        <w:t xml:space="preserve"> Governor</w:t>
      </w:r>
    </w:p>
    <w:p w14:paraId="3A35CDF0" w14:textId="77777777" w:rsidR="00A420DB" w:rsidRPr="00A420DB" w:rsidRDefault="00A420DB" w:rsidP="00A420DB">
      <w:pPr>
        <w:rPr>
          <w:rFonts w:asciiTheme="majorHAnsi" w:eastAsia="Times New Roman" w:hAnsiTheme="majorHAnsi" w:cstheme="majorHAnsi"/>
          <w:lang w:eastAsia="en-GB"/>
        </w:rPr>
      </w:pPr>
      <w:r w:rsidRPr="00A420DB">
        <w:rPr>
          <w:rFonts w:asciiTheme="majorHAnsi" w:eastAsia="Times New Roman" w:hAnsiTheme="majorHAnsi" w:cstheme="majorHAnsi"/>
          <w:color w:val="0A0A0A"/>
          <w:shd w:val="clear" w:color="auto" w:fill="FEFEFE"/>
          <w:lang w:eastAsia="en-GB"/>
        </w:rPr>
        <w:t>Office of Governor Ned Lamont</w:t>
      </w:r>
      <w:r w:rsidRPr="00A420DB">
        <w:rPr>
          <w:rFonts w:asciiTheme="majorHAnsi" w:eastAsia="Times New Roman" w:hAnsiTheme="majorHAnsi" w:cstheme="majorHAnsi"/>
          <w:color w:val="0A0A0A"/>
          <w:lang w:eastAsia="en-GB"/>
        </w:rPr>
        <w:br/>
      </w:r>
      <w:r w:rsidRPr="00A420DB">
        <w:rPr>
          <w:rFonts w:asciiTheme="majorHAnsi" w:eastAsia="Times New Roman" w:hAnsiTheme="majorHAnsi" w:cstheme="majorHAnsi"/>
          <w:color w:val="0A0A0A"/>
          <w:shd w:val="clear" w:color="auto" w:fill="FEFEFE"/>
          <w:lang w:eastAsia="en-GB"/>
        </w:rPr>
        <w:t>State Capitol</w:t>
      </w:r>
      <w:r w:rsidRPr="00A420DB">
        <w:rPr>
          <w:rFonts w:asciiTheme="majorHAnsi" w:eastAsia="Times New Roman" w:hAnsiTheme="majorHAnsi" w:cstheme="majorHAnsi"/>
          <w:color w:val="0A0A0A"/>
          <w:lang w:eastAsia="en-GB"/>
        </w:rPr>
        <w:br/>
      </w:r>
      <w:r w:rsidRPr="00A420DB">
        <w:rPr>
          <w:rFonts w:asciiTheme="majorHAnsi" w:eastAsia="Times New Roman" w:hAnsiTheme="majorHAnsi" w:cstheme="majorHAnsi"/>
          <w:color w:val="0A0A0A"/>
          <w:shd w:val="clear" w:color="auto" w:fill="FEFEFE"/>
          <w:lang w:eastAsia="en-GB"/>
        </w:rPr>
        <w:t>210 Capitol Avenue</w:t>
      </w:r>
      <w:r w:rsidRPr="00A420DB">
        <w:rPr>
          <w:rFonts w:asciiTheme="majorHAnsi" w:eastAsia="Times New Roman" w:hAnsiTheme="majorHAnsi" w:cstheme="majorHAnsi"/>
          <w:color w:val="0A0A0A"/>
          <w:lang w:eastAsia="en-GB"/>
        </w:rPr>
        <w:br/>
      </w:r>
      <w:r w:rsidRPr="00A420DB">
        <w:rPr>
          <w:rFonts w:asciiTheme="majorHAnsi" w:eastAsia="Times New Roman" w:hAnsiTheme="majorHAnsi" w:cstheme="majorHAnsi"/>
          <w:color w:val="0A0A0A"/>
          <w:shd w:val="clear" w:color="auto" w:fill="FEFEFE"/>
          <w:lang w:eastAsia="en-GB"/>
        </w:rPr>
        <w:t>Hartford, CT 06106</w:t>
      </w:r>
    </w:p>
    <w:p w14:paraId="73CEE673" w14:textId="77777777" w:rsidR="000B656B" w:rsidRPr="002048C3" w:rsidRDefault="000B656B" w:rsidP="0037329F">
      <w:pPr>
        <w:rPr>
          <w:rFonts w:asciiTheme="majorHAnsi" w:hAnsiTheme="majorHAnsi" w:cstheme="majorHAnsi"/>
          <w:b/>
          <w:bCs/>
          <w:color w:val="000000"/>
          <w:lang w:val="en-GB"/>
        </w:rPr>
      </w:pPr>
    </w:p>
    <w:p w14:paraId="62CEEDEB" w14:textId="7E465A83" w:rsidR="000B656B" w:rsidRPr="002048C3" w:rsidRDefault="000B656B" w:rsidP="0037329F">
      <w:pPr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  <w:b/>
          <w:bCs/>
          <w:color w:val="000000"/>
          <w:lang w:val="en-GB"/>
        </w:rPr>
        <w:t>Re: COMMENTS ON TRANSPORTATION AND CLIMATE INITATIVE DRAFT MODEL RULE (MAR. 30, 20</w:t>
      </w:r>
      <w:r w:rsidR="00874E79" w:rsidRPr="002048C3">
        <w:rPr>
          <w:rFonts w:asciiTheme="majorHAnsi" w:hAnsiTheme="majorHAnsi" w:cstheme="majorHAnsi"/>
          <w:b/>
          <w:bCs/>
          <w:color w:val="000000"/>
          <w:lang w:val="en-GB"/>
        </w:rPr>
        <w:t>21</w:t>
      </w:r>
      <w:r w:rsidRPr="002048C3">
        <w:rPr>
          <w:rFonts w:asciiTheme="majorHAnsi" w:hAnsiTheme="majorHAnsi" w:cstheme="majorHAnsi"/>
          <w:b/>
          <w:bCs/>
          <w:color w:val="000000"/>
          <w:lang w:val="en-GB"/>
        </w:rPr>
        <w:t>)</w:t>
      </w:r>
    </w:p>
    <w:p w14:paraId="0AA38F5F" w14:textId="59FE4E17" w:rsidR="00E65E36" w:rsidRPr="002048C3" w:rsidRDefault="00E65E36" w:rsidP="0037329F">
      <w:pPr>
        <w:rPr>
          <w:rFonts w:asciiTheme="majorHAnsi" w:hAnsiTheme="majorHAnsi" w:cstheme="majorHAnsi"/>
          <w:lang w:val="en-US"/>
        </w:rPr>
      </w:pPr>
    </w:p>
    <w:p w14:paraId="0C06AA24" w14:textId="11D27A77" w:rsidR="005E4C33" w:rsidRPr="002048C3" w:rsidRDefault="005E4C33" w:rsidP="0037329F">
      <w:pPr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  <w:lang w:val="en-US"/>
        </w:rPr>
        <w:t xml:space="preserve">Dear </w:t>
      </w:r>
      <w:proofErr w:type="spellStart"/>
      <w:r w:rsidRPr="002048C3">
        <w:rPr>
          <w:rFonts w:asciiTheme="majorHAnsi" w:hAnsiTheme="majorHAnsi" w:cstheme="majorHAnsi"/>
          <w:lang w:val="en-US"/>
        </w:rPr>
        <w:t>Ms</w:t>
      </w:r>
      <w:proofErr w:type="spellEnd"/>
      <w:r w:rsidRPr="002048C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048C3">
        <w:rPr>
          <w:rFonts w:asciiTheme="majorHAnsi" w:hAnsiTheme="majorHAnsi" w:cstheme="majorHAnsi"/>
        </w:rPr>
        <w:t>Theoharides</w:t>
      </w:r>
      <w:proofErr w:type="spellEnd"/>
      <w:r w:rsidR="00A87DC7" w:rsidRPr="002048C3">
        <w:rPr>
          <w:rFonts w:asciiTheme="majorHAnsi" w:hAnsiTheme="majorHAnsi" w:cstheme="majorHAnsi"/>
        </w:rPr>
        <w:t xml:space="preserve"> and Governor Lamont,</w:t>
      </w:r>
    </w:p>
    <w:p w14:paraId="5B0190DE" w14:textId="77777777" w:rsidR="007A4CC0" w:rsidRPr="002048C3" w:rsidRDefault="007A4CC0" w:rsidP="0037329F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0DF4010" w14:textId="4D87490F" w:rsidR="00550A85" w:rsidRPr="002048C3" w:rsidRDefault="00625B56" w:rsidP="0037329F">
      <w:pPr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</w:rPr>
        <w:t xml:space="preserve">I am a Masters student at the Harvard Extension School’s Sustainability program, currently studying </w:t>
      </w:r>
      <w:r w:rsidR="0065596A" w:rsidRPr="002048C3">
        <w:rPr>
          <w:rFonts w:asciiTheme="majorHAnsi" w:hAnsiTheme="majorHAnsi" w:cstheme="majorHAnsi"/>
        </w:rPr>
        <w:t>U.S.</w:t>
      </w:r>
      <w:r w:rsidRPr="002048C3">
        <w:rPr>
          <w:rFonts w:asciiTheme="majorHAnsi" w:hAnsiTheme="majorHAnsi" w:cstheme="majorHAnsi"/>
        </w:rPr>
        <w:t xml:space="preserve"> climate change laws and policies</w:t>
      </w:r>
      <w:r w:rsidR="00550A85" w:rsidRPr="002048C3">
        <w:rPr>
          <w:rFonts w:asciiTheme="majorHAnsi" w:hAnsiTheme="majorHAnsi" w:cstheme="majorHAnsi"/>
        </w:rPr>
        <w:t xml:space="preserve"> </w:t>
      </w:r>
      <w:r w:rsidRPr="002048C3">
        <w:rPr>
          <w:rFonts w:asciiTheme="majorHAnsi" w:hAnsiTheme="majorHAnsi" w:cstheme="majorHAnsi"/>
        </w:rPr>
        <w:t xml:space="preserve">taught by Professor </w:t>
      </w:r>
      <w:proofErr w:type="spellStart"/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Aladdine</w:t>
      </w:r>
      <w:proofErr w:type="spellEnd"/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proofErr w:type="spellStart"/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Joroff</w:t>
      </w:r>
      <w:proofErr w:type="spellEnd"/>
      <w:r w:rsidR="00550A8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, a lecturer at </w:t>
      </w: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Harvard Law School’s Emmett Environmental Law and Policy Clinic.</w:t>
      </w:r>
      <w:r w:rsidR="00025BFE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025BFE" w:rsidRPr="002048C3">
        <w:rPr>
          <w:rFonts w:asciiTheme="majorHAnsi" w:hAnsiTheme="majorHAnsi" w:cstheme="majorHAnsi"/>
        </w:rPr>
        <w:t xml:space="preserve">I respectfully submit this letter in support of the </w:t>
      </w:r>
      <w:r w:rsidR="0054573F" w:rsidRPr="002048C3">
        <w:rPr>
          <w:rFonts w:asciiTheme="majorHAnsi" w:hAnsiTheme="majorHAnsi" w:cstheme="majorHAnsi"/>
          <w:lang w:val="en-GB"/>
        </w:rPr>
        <w:t>Transportation &amp; Climate Initiative (TCI)</w:t>
      </w:r>
      <w:r w:rsidRPr="002048C3">
        <w:rPr>
          <w:rFonts w:asciiTheme="majorHAnsi" w:hAnsiTheme="majorHAnsi" w:cstheme="majorHAnsi"/>
          <w:lang w:val="en-GB"/>
        </w:rPr>
        <w:t xml:space="preserve"> Draft Model Rule</w:t>
      </w:r>
      <w:r w:rsidR="00550A85" w:rsidRPr="002048C3">
        <w:rPr>
          <w:rFonts w:asciiTheme="majorHAnsi" w:hAnsiTheme="majorHAnsi" w:cstheme="majorHAnsi"/>
          <w:lang w:val="en-GB"/>
        </w:rPr>
        <w:t xml:space="preserve"> (“Model Rule”)</w:t>
      </w:r>
      <w:r w:rsidR="00025BFE" w:rsidRPr="002048C3">
        <w:rPr>
          <w:rFonts w:asciiTheme="majorHAnsi" w:hAnsiTheme="majorHAnsi" w:cstheme="majorHAnsi"/>
          <w:lang w:val="en-GB"/>
        </w:rPr>
        <w:t xml:space="preserve">, with comments on how the </w:t>
      </w:r>
      <w:r w:rsidR="00A86693" w:rsidRPr="002048C3">
        <w:rPr>
          <w:rFonts w:asciiTheme="majorHAnsi" w:hAnsiTheme="majorHAnsi" w:cstheme="majorHAnsi"/>
          <w:lang w:val="en-GB"/>
        </w:rPr>
        <w:t xml:space="preserve">investment framework of the </w:t>
      </w:r>
      <w:r w:rsidR="00025BFE" w:rsidRPr="002048C3">
        <w:rPr>
          <w:rFonts w:asciiTheme="majorHAnsi" w:hAnsiTheme="majorHAnsi" w:cstheme="majorHAnsi"/>
          <w:lang w:val="en-GB"/>
        </w:rPr>
        <w:t>Model Rule could be strengthened</w:t>
      </w:r>
      <w:r w:rsidR="000C7F60" w:rsidRPr="002048C3">
        <w:rPr>
          <w:rFonts w:asciiTheme="majorHAnsi" w:hAnsiTheme="majorHAnsi" w:cstheme="majorHAnsi"/>
          <w:lang w:val="en-GB"/>
        </w:rPr>
        <w:t xml:space="preserve"> </w:t>
      </w:r>
      <w:r w:rsidR="00A86693" w:rsidRPr="002048C3">
        <w:rPr>
          <w:rFonts w:asciiTheme="majorHAnsi" w:hAnsiTheme="majorHAnsi" w:cstheme="majorHAnsi"/>
          <w:lang w:val="en-GB"/>
        </w:rPr>
        <w:t xml:space="preserve">in two </w:t>
      </w:r>
      <w:r w:rsidR="00550A85" w:rsidRPr="002048C3">
        <w:rPr>
          <w:rFonts w:asciiTheme="majorHAnsi" w:hAnsiTheme="majorHAnsi" w:cstheme="majorHAnsi"/>
          <w:lang w:val="en-GB"/>
        </w:rPr>
        <w:t xml:space="preserve">critical </w:t>
      </w:r>
      <w:r w:rsidR="00A86693" w:rsidRPr="002048C3">
        <w:rPr>
          <w:rFonts w:asciiTheme="majorHAnsi" w:hAnsiTheme="majorHAnsi" w:cstheme="majorHAnsi"/>
          <w:lang w:val="en-GB"/>
        </w:rPr>
        <w:t>areas</w:t>
      </w:r>
      <w:r w:rsidR="00AD6359">
        <w:rPr>
          <w:rFonts w:asciiTheme="majorHAnsi" w:hAnsiTheme="majorHAnsi" w:cstheme="majorHAnsi"/>
          <w:lang w:val="en-GB"/>
        </w:rPr>
        <w:t>: implement safeguards to ensure TCI funds are reserved for investment into net-new clean transportation projects; and establish investment assessment frameworks to determine which projects would best meet TCI’s goals</w:t>
      </w:r>
      <w:r w:rsidR="00550A85" w:rsidRPr="002048C3">
        <w:rPr>
          <w:rFonts w:asciiTheme="majorHAnsi" w:hAnsiTheme="majorHAnsi" w:cstheme="majorHAnsi"/>
          <w:lang w:val="en-GB"/>
        </w:rPr>
        <w:t>. T</w:t>
      </w:r>
      <w:r w:rsidR="00AD6359">
        <w:rPr>
          <w:rFonts w:asciiTheme="majorHAnsi" w:hAnsiTheme="majorHAnsi" w:cstheme="majorHAnsi"/>
          <w:lang w:val="en-GB"/>
        </w:rPr>
        <w:t xml:space="preserve">ogether, the </w:t>
      </w:r>
      <w:r w:rsidR="00647789" w:rsidRPr="002048C3">
        <w:rPr>
          <w:rFonts w:asciiTheme="majorHAnsi" w:hAnsiTheme="majorHAnsi" w:cstheme="majorHAnsi"/>
          <w:lang w:val="en-GB"/>
        </w:rPr>
        <w:t>suggestions address the lack of</w:t>
      </w:r>
      <w:r w:rsidR="00A86693" w:rsidRPr="002048C3">
        <w:rPr>
          <w:rFonts w:asciiTheme="majorHAnsi" w:hAnsiTheme="majorHAnsi" w:cstheme="majorHAnsi"/>
          <w:lang w:val="en-GB"/>
        </w:rPr>
        <w:t xml:space="preserve"> detail </w:t>
      </w:r>
      <w:r w:rsidR="00647789" w:rsidRPr="002048C3">
        <w:rPr>
          <w:rFonts w:asciiTheme="majorHAnsi" w:hAnsiTheme="majorHAnsi" w:cstheme="majorHAnsi"/>
          <w:lang w:val="en-GB"/>
        </w:rPr>
        <w:t xml:space="preserve">in the draft on </w:t>
      </w:r>
      <w:r w:rsidR="00550A85" w:rsidRPr="002048C3">
        <w:rPr>
          <w:rFonts w:asciiTheme="majorHAnsi" w:hAnsiTheme="majorHAnsi" w:cstheme="majorHAnsi"/>
          <w:lang w:val="en-GB"/>
        </w:rPr>
        <w:t xml:space="preserve">frameworks </w:t>
      </w:r>
      <w:r w:rsidR="00647789" w:rsidRPr="002048C3">
        <w:rPr>
          <w:rFonts w:asciiTheme="majorHAnsi" w:hAnsiTheme="majorHAnsi" w:cstheme="majorHAnsi"/>
          <w:lang w:val="en-GB"/>
        </w:rPr>
        <w:t xml:space="preserve">to </w:t>
      </w:r>
      <w:r w:rsidR="00550A85" w:rsidRPr="002048C3">
        <w:rPr>
          <w:rFonts w:asciiTheme="majorHAnsi" w:hAnsiTheme="majorHAnsi" w:cstheme="majorHAnsi"/>
          <w:lang w:val="en-GB"/>
        </w:rPr>
        <w:t xml:space="preserve">ensure TCI </w:t>
      </w:r>
      <w:r w:rsidR="00647789" w:rsidRPr="002048C3">
        <w:rPr>
          <w:rFonts w:asciiTheme="majorHAnsi" w:hAnsiTheme="majorHAnsi" w:cstheme="majorHAnsi"/>
          <w:lang w:val="en-GB"/>
        </w:rPr>
        <w:t>investments are channelled into the</w:t>
      </w:r>
      <w:r w:rsidR="00550A85" w:rsidRPr="002048C3">
        <w:rPr>
          <w:rFonts w:asciiTheme="majorHAnsi" w:hAnsiTheme="majorHAnsi" w:cstheme="majorHAnsi"/>
          <w:lang w:val="en-GB"/>
        </w:rPr>
        <w:t xml:space="preserve"> most impactful </w:t>
      </w:r>
      <w:r w:rsidR="00647789" w:rsidRPr="002048C3">
        <w:rPr>
          <w:rFonts w:asciiTheme="majorHAnsi" w:hAnsiTheme="majorHAnsi" w:cstheme="majorHAnsi"/>
          <w:lang w:val="en-GB"/>
        </w:rPr>
        <w:t>projects</w:t>
      </w:r>
      <w:r w:rsidR="00550A85" w:rsidRPr="002048C3">
        <w:rPr>
          <w:rFonts w:asciiTheme="majorHAnsi" w:hAnsiTheme="majorHAnsi" w:cstheme="majorHAnsi"/>
          <w:lang w:val="en-GB"/>
        </w:rPr>
        <w:t xml:space="preserve"> </w:t>
      </w:r>
      <w:r w:rsidR="00647789" w:rsidRPr="002048C3">
        <w:rPr>
          <w:rFonts w:asciiTheme="majorHAnsi" w:hAnsiTheme="majorHAnsi" w:cstheme="majorHAnsi"/>
          <w:lang w:val="en-GB"/>
        </w:rPr>
        <w:t>for meeting the</w:t>
      </w:r>
      <w:r w:rsidR="00550A85" w:rsidRPr="002048C3">
        <w:rPr>
          <w:rFonts w:asciiTheme="majorHAnsi" w:hAnsiTheme="majorHAnsi" w:cstheme="majorHAnsi"/>
          <w:lang w:val="en-GB"/>
        </w:rPr>
        <w:t xml:space="preserve"> TCI goals</w:t>
      </w:r>
      <w:r w:rsidR="00647789" w:rsidRPr="002048C3">
        <w:rPr>
          <w:rFonts w:asciiTheme="majorHAnsi" w:hAnsiTheme="majorHAnsi" w:cstheme="majorHAnsi"/>
          <w:lang w:val="en-GB"/>
        </w:rPr>
        <w:t xml:space="preserve"> of providing a clean, </w:t>
      </w:r>
      <w:proofErr w:type="gramStart"/>
      <w:r w:rsidR="00647789" w:rsidRPr="002048C3">
        <w:rPr>
          <w:rFonts w:asciiTheme="majorHAnsi" w:hAnsiTheme="majorHAnsi" w:cstheme="majorHAnsi"/>
          <w:lang w:val="en-GB"/>
        </w:rPr>
        <w:t>healthy</w:t>
      </w:r>
      <w:proofErr w:type="gramEnd"/>
      <w:r w:rsidR="00647789" w:rsidRPr="002048C3">
        <w:rPr>
          <w:rFonts w:asciiTheme="majorHAnsi" w:hAnsiTheme="majorHAnsi" w:cstheme="majorHAnsi"/>
          <w:lang w:val="en-GB"/>
        </w:rPr>
        <w:t xml:space="preserve"> and equitable transport network that reduces greenhouse gas (GHG) emissions.</w:t>
      </w:r>
      <w:r w:rsidR="00550A85" w:rsidRPr="002048C3">
        <w:rPr>
          <w:rFonts w:asciiTheme="majorHAnsi" w:hAnsiTheme="majorHAnsi" w:cstheme="majorHAnsi"/>
          <w:lang w:val="en-GB"/>
        </w:rPr>
        <w:t xml:space="preserve"> </w:t>
      </w:r>
    </w:p>
    <w:p w14:paraId="1DCD3550" w14:textId="77777777" w:rsidR="00A86693" w:rsidRPr="002048C3" w:rsidRDefault="00A86693" w:rsidP="0037329F">
      <w:pPr>
        <w:rPr>
          <w:rFonts w:asciiTheme="majorHAnsi" w:hAnsiTheme="majorHAnsi" w:cstheme="majorHAnsi"/>
          <w:lang w:val="en-GB"/>
        </w:rPr>
      </w:pPr>
    </w:p>
    <w:p w14:paraId="3159F883" w14:textId="2ABF025E" w:rsidR="00025BFE" w:rsidRPr="002048C3" w:rsidRDefault="00A90A7E" w:rsidP="0037329F">
      <w:pPr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  <w:lang w:val="en-GB"/>
        </w:rPr>
        <w:t xml:space="preserve">As a concerned citizen, </w:t>
      </w:r>
      <w:r w:rsidR="004B5911" w:rsidRPr="002048C3">
        <w:rPr>
          <w:rFonts w:asciiTheme="majorHAnsi" w:hAnsiTheme="majorHAnsi" w:cstheme="majorHAnsi"/>
          <w:lang w:val="en-GB"/>
        </w:rPr>
        <w:t xml:space="preserve">I am encouraged by the </w:t>
      </w:r>
      <w:r w:rsidR="005B5BA0" w:rsidRPr="002048C3">
        <w:rPr>
          <w:rFonts w:asciiTheme="majorHAnsi" w:hAnsiTheme="majorHAnsi" w:cstheme="majorHAnsi"/>
          <w:lang w:val="en-GB"/>
        </w:rPr>
        <w:t xml:space="preserve">action </w:t>
      </w:r>
      <w:r w:rsidR="004B5911" w:rsidRPr="002048C3">
        <w:rPr>
          <w:rFonts w:asciiTheme="majorHAnsi" w:hAnsiTheme="majorHAnsi" w:cstheme="majorHAnsi"/>
          <w:lang w:val="en-GB"/>
        </w:rPr>
        <w:t xml:space="preserve">taken </w:t>
      </w:r>
      <w:r w:rsidR="005B5BA0" w:rsidRPr="002048C3">
        <w:rPr>
          <w:rFonts w:asciiTheme="majorHAnsi" w:hAnsiTheme="majorHAnsi" w:cstheme="majorHAnsi"/>
          <w:lang w:val="en-GB"/>
        </w:rPr>
        <w:t>to reduce greenhouse gas (GHG) emissions in the transportation sector</w:t>
      </w:r>
      <w:r w:rsidR="004B5911" w:rsidRPr="002048C3">
        <w:rPr>
          <w:rFonts w:asciiTheme="majorHAnsi" w:hAnsiTheme="majorHAnsi" w:cstheme="majorHAnsi"/>
          <w:lang w:val="en-GB"/>
        </w:rPr>
        <w:t xml:space="preserve">, </w:t>
      </w:r>
      <w:r w:rsidR="00787A29">
        <w:rPr>
          <w:rFonts w:asciiTheme="majorHAnsi" w:hAnsiTheme="majorHAnsi" w:cstheme="majorHAnsi"/>
          <w:lang w:val="en-GB"/>
        </w:rPr>
        <w:t>which</w:t>
      </w:r>
      <w:r w:rsidR="00AD6359">
        <w:rPr>
          <w:rFonts w:asciiTheme="majorHAnsi" w:hAnsiTheme="majorHAnsi" w:cstheme="majorHAnsi"/>
          <w:lang w:val="en-GB"/>
        </w:rPr>
        <w:t xml:space="preserve"> </w:t>
      </w:r>
      <w:r w:rsidR="004B5911" w:rsidRPr="002048C3">
        <w:rPr>
          <w:rFonts w:asciiTheme="majorHAnsi" w:hAnsiTheme="majorHAnsi" w:cstheme="majorHAnsi"/>
          <w:lang w:val="en-GB"/>
        </w:rPr>
        <w:t xml:space="preserve">account </w:t>
      </w:r>
      <w:r w:rsidR="004B5911" w:rsidRPr="002048C3">
        <w:rPr>
          <w:rFonts w:asciiTheme="majorHAnsi" w:hAnsiTheme="majorHAnsi" w:cstheme="majorHAnsi"/>
          <w:lang w:val="en-GB"/>
        </w:rPr>
        <w:t xml:space="preserve">for </w:t>
      </w:r>
      <w:r w:rsidR="005B5BA0" w:rsidRPr="002048C3">
        <w:rPr>
          <w:rFonts w:asciiTheme="majorHAnsi" w:hAnsiTheme="majorHAnsi" w:cstheme="majorHAnsi"/>
          <w:lang w:val="en-GB"/>
        </w:rPr>
        <w:t xml:space="preserve">42% of total GHG emissions from TCI signatory jurisdictions. </w:t>
      </w:r>
      <w:r w:rsidR="00025BFE" w:rsidRPr="002048C3">
        <w:rPr>
          <w:rFonts w:asciiTheme="majorHAnsi" w:hAnsiTheme="majorHAnsi" w:cstheme="majorHAnsi"/>
          <w:lang w:val="en-GB"/>
        </w:rPr>
        <w:t xml:space="preserve">The strength of the TCI program lies in the ability to cap and reduce </w:t>
      </w:r>
      <w:r w:rsidR="005B5BA0" w:rsidRPr="002048C3">
        <w:rPr>
          <w:rFonts w:asciiTheme="majorHAnsi" w:hAnsiTheme="majorHAnsi" w:cstheme="majorHAnsi"/>
          <w:lang w:val="en-GB"/>
        </w:rPr>
        <w:t xml:space="preserve">GHG </w:t>
      </w:r>
      <w:r w:rsidR="00025BFE" w:rsidRPr="002048C3">
        <w:rPr>
          <w:rFonts w:asciiTheme="majorHAnsi" w:hAnsiTheme="majorHAnsi" w:cstheme="majorHAnsi"/>
          <w:lang w:val="en-GB"/>
        </w:rPr>
        <w:t>emissions whil</w:t>
      </w:r>
      <w:r w:rsidR="00787A29">
        <w:rPr>
          <w:rFonts w:asciiTheme="majorHAnsi" w:hAnsiTheme="majorHAnsi" w:cstheme="majorHAnsi"/>
          <w:lang w:val="en-GB"/>
        </w:rPr>
        <w:t>e</w:t>
      </w:r>
      <w:r w:rsidR="00025BFE" w:rsidRPr="002048C3">
        <w:rPr>
          <w:rFonts w:asciiTheme="majorHAnsi" w:hAnsiTheme="majorHAnsi" w:cstheme="majorHAnsi"/>
          <w:lang w:val="en-GB"/>
        </w:rPr>
        <w:t xml:space="preserve"> generating long-term financing </w:t>
      </w:r>
      <w:r w:rsidR="00647789" w:rsidRPr="002048C3">
        <w:rPr>
          <w:rFonts w:asciiTheme="majorHAnsi" w:hAnsiTheme="majorHAnsi" w:cstheme="majorHAnsi"/>
          <w:lang w:val="en-GB"/>
        </w:rPr>
        <w:t xml:space="preserve">for the transition into a clean and healthy transportation network that provides environmental justice. </w:t>
      </w:r>
    </w:p>
    <w:p w14:paraId="51E473E3" w14:textId="77777777" w:rsidR="0054573F" w:rsidRPr="002048C3" w:rsidRDefault="0054573F" w:rsidP="0037329F">
      <w:pPr>
        <w:rPr>
          <w:rFonts w:asciiTheme="majorHAnsi" w:hAnsiTheme="majorHAnsi" w:cstheme="majorHAnsi"/>
        </w:rPr>
      </w:pPr>
    </w:p>
    <w:p w14:paraId="6A2DA18F" w14:textId="664875D9" w:rsidR="00EC52C4" w:rsidRPr="002048C3" w:rsidRDefault="00EC52C4" w:rsidP="0037329F">
      <w:pPr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</w:rPr>
        <w:t xml:space="preserve">In brief, </w:t>
      </w:r>
      <w:r w:rsidR="002E70BA" w:rsidRPr="002048C3">
        <w:rPr>
          <w:rFonts w:asciiTheme="majorHAnsi" w:hAnsiTheme="majorHAnsi" w:cstheme="majorHAnsi"/>
        </w:rPr>
        <w:t xml:space="preserve">I urge the TCI to make the following additions to the </w:t>
      </w:r>
      <w:r w:rsidR="00647789" w:rsidRPr="002048C3">
        <w:rPr>
          <w:rFonts w:asciiTheme="majorHAnsi" w:hAnsiTheme="majorHAnsi" w:cstheme="majorHAnsi"/>
        </w:rPr>
        <w:t xml:space="preserve">Final </w:t>
      </w:r>
      <w:r w:rsidR="002E70BA" w:rsidRPr="002048C3">
        <w:rPr>
          <w:rFonts w:asciiTheme="majorHAnsi" w:hAnsiTheme="majorHAnsi" w:cstheme="majorHAnsi"/>
        </w:rPr>
        <w:t>Model Rule:</w:t>
      </w:r>
    </w:p>
    <w:p w14:paraId="73712A84" w14:textId="01E325E3" w:rsidR="00647789" w:rsidRPr="002048C3" w:rsidRDefault="00481088" w:rsidP="0037329F">
      <w:pPr>
        <w:pStyle w:val="ListParagraph"/>
        <w:numPr>
          <w:ilvl w:val="0"/>
          <w:numId w:val="5"/>
        </w:numPr>
        <w:contextualSpacing w:val="0"/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</w:pP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lastRenderedPageBreak/>
        <w:t>Include safeguard</w:t>
      </w:r>
      <w:r w:rsidR="00A86693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s to </w:t>
      </w: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ensure </w:t>
      </w:r>
      <w:r w:rsidR="003A6FE5">
        <w:rPr>
          <w:rFonts w:asciiTheme="majorHAnsi" w:eastAsia="Times New Roman" w:hAnsiTheme="majorHAnsi" w:cstheme="majorHAnsi"/>
          <w:color w:val="1B1B1B"/>
          <w:lang w:eastAsia="en-GB"/>
        </w:rPr>
        <w:t xml:space="preserve">that </w:t>
      </w: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TCI funds are spent on net-new </w:t>
      </w:r>
      <w:r w:rsidR="00A86693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clean transportation projects. TCI funds should not be </w:t>
      </w:r>
      <w:r w:rsidR="003A6FE5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used for</w:t>
      </w:r>
      <w:r w:rsidR="00A86693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non-TCI-related state budgets, or used to reduce existing state transportation </w:t>
      </w:r>
      <w:r w:rsidR="00A86693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expenditure</w:t>
      </w:r>
      <w:r w:rsidR="003A6FE5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s</w:t>
      </w:r>
      <w:r w:rsidR="0064778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;</w:t>
      </w:r>
      <w:r w:rsidR="0064778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and</w:t>
      </w:r>
    </w:p>
    <w:p w14:paraId="35600E97" w14:textId="2AF4E667" w:rsidR="00647789" w:rsidRPr="002048C3" w:rsidRDefault="00A86693" w:rsidP="0037329F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  <w:lang w:val="en-GB"/>
        </w:rPr>
        <w:t>Establish a framework for determining which investments would best achieve the TCI’s purpose as defined in XX-1.1 of the Model Rule.</w:t>
      </w:r>
    </w:p>
    <w:p w14:paraId="1037D550" w14:textId="29D97D22" w:rsidR="00A420DB" w:rsidRPr="002048C3" w:rsidRDefault="00A420DB" w:rsidP="00A420DB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</w:p>
    <w:p w14:paraId="327D46B9" w14:textId="3691859A" w:rsidR="00783171" w:rsidRPr="002048C3" w:rsidRDefault="005F57DB" w:rsidP="0037329F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  <w:lang w:val="en-GB"/>
        </w:rPr>
        <w:t>I urge t</w:t>
      </w:r>
      <w:r w:rsidR="00A420DB" w:rsidRPr="002048C3">
        <w:rPr>
          <w:rFonts w:asciiTheme="majorHAnsi" w:hAnsiTheme="majorHAnsi" w:cstheme="majorHAnsi"/>
          <w:lang w:val="en-GB"/>
        </w:rPr>
        <w:t xml:space="preserve">he TCI </w:t>
      </w:r>
      <w:r w:rsidR="003A6FE5">
        <w:rPr>
          <w:rFonts w:asciiTheme="majorHAnsi" w:hAnsiTheme="majorHAnsi" w:cstheme="majorHAnsi"/>
          <w:lang w:val="en-GB"/>
        </w:rPr>
        <w:t xml:space="preserve">signatories </w:t>
      </w:r>
      <w:r w:rsidRPr="002048C3">
        <w:rPr>
          <w:rFonts w:asciiTheme="majorHAnsi" w:hAnsiTheme="majorHAnsi" w:cstheme="majorHAnsi"/>
          <w:lang w:val="en-GB"/>
        </w:rPr>
        <w:t xml:space="preserve">to amend the Model Rule to establish clearer investment guidelines for existing and future Signatory Jurisdictions to ensure </w:t>
      </w:r>
      <w:r w:rsidR="003A6FE5">
        <w:rPr>
          <w:rFonts w:asciiTheme="majorHAnsi" w:hAnsiTheme="majorHAnsi" w:cstheme="majorHAnsi"/>
          <w:lang w:val="en-GB"/>
        </w:rPr>
        <w:t xml:space="preserve">that </w:t>
      </w:r>
      <w:r w:rsidRPr="002048C3">
        <w:rPr>
          <w:rFonts w:asciiTheme="majorHAnsi" w:hAnsiTheme="majorHAnsi" w:cstheme="majorHAnsi"/>
          <w:lang w:val="en-GB"/>
        </w:rPr>
        <w:t>TCI funds are channelled into initiatives that would provide meaningful emission reductions</w:t>
      </w:r>
      <w:r w:rsidR="003A6FE5">
        <w:rPr>
          <w:rFonts w:asciiTheme="majorHAnsi" w:hAnsiTheme="majorHAnsi" w:cstheme="majorHAnsi"/>
          <w:lang w:val="en-GB"/>
        </w:rPr>
        <w:t xml:space="preserve"> from the transportation sector</w:t>
      </w:r>
      <w:r w:rsidRPr="002048C3">
        <w:rPr>
          <w:rFonts w:asciiTheme="majorHAnsi" w:hAnsiTheme="majorHAnsi" w:cstheme="majorHAnsi"/>
          <w:lang w:val="en-GB"/>
        </w:rPr>
        <w:t xml:space="preserve"> and </w:t>
      </w:r>
      <w:r w:rsidR="003A6FE5">
        <w:rPr>
          <w:rFonts w:asciiTheme="majorHAnsi" w:hAnsiTheme="majorHAnsi" w:cstheme="majorHAnsi"/>
          <w:lang w:val="en-GB"/>
        </w:rPr>
        <w:t xml:space="preserve">ensure </w:t>
      </w:r>
      <w:r w:rsidRPr="002048C3">
        <w:rPr>
          <w:rFonts w:asciiTheme="majorHAnsi" w:hAnsiTheme="majorHAnsi" w:cstheme="majorHAnsi"/>
          <w:lang w:val="en-GB"/>
        </w:rPr>
        <w:t>the long</w:t>
      </w:r>
      <w:r w:rsidR="00212457">
        <w:rPr>
          <w:rFonts w:asciiTheme="majorHAnsi" w:hAnsiTheme="majorHAnsi" w:cstheme="majorHAnsi"/>
          <w:lang w:val="en-GB"/>
        </w:rPr>
        <w:t>-</w:t>
      </w:r>
      <w:r w:rsidRPr="002048C3">
        <w:rPr>
          <w:rFonts w:asciiTheme="majorHAnsi" w:hAnsiTheme="majorHAnsi" w:cstheme="majorHAnsi"/>
          <w:lang w:val="en-GB"/>
        </w:rPr>
        <w:t xml:space="preserve">term success of the TCI program. </w:t>
      </w:r>
      <w:r w:rsidRPr="00212457">
        <w:rPr>
          <w:rFonts w:asciiTheme="majorHAnsi" w:hAnsiTheme="majorHAnsi" w:cstheme="majorHAnsi"/>
          <w:lang w:val="en-GB"/>
        </w:rPr>
        <w:t>Similarly, state</w:t>
      </w:r>
      <w:r w:rsidR="00AD6359" w:rsidRPr="00212457">
        <w:rPr>
          <w:rFonts w:asciiTheme="majorHAnsi" w:hAnsiTheme="majorHAnsi" w:cstheme="majorHAnsi"/>
          <w:lang w:val="en-GB"/>
        </w:rPr>
        <w:t>s</w:t>
      </w:r>
      <w:r w:rsidRPr="002048C3">
        <w:rPr>
          <w:rFonts w:asciiTheme="majorHAnsi" w:hAnsiTheme="majorHAnsi" w:cstheme="majorHAnsi"/>
          <w:lang w:val="en-GB"/>
        </w:rPr>
        <w:t xml:space="preserve"> </w:t>
      </w:r>
      <w:r w:rsidR="00AD6359">
        <w:rPr>
          <w:rFonts w:asciiTheme="majorHAnsi" w:hAnsiTheme="majorHAnsi" w:cstheme="majorHAnsi"/>
          <w:lang w:val="en-GB"/>
        </w:rPr>
        <w:t>have separate obligation</w:t>
      </w:r>
      <w:r w:rsidRPr="002048C3">
        <w:rPr>
          <w:rFonts w:asciiTheme="majorHAnsi" w:hAnsiTheme="majorHAnsi" w:cstheme="majorHAnsi"/>
          <w:lang w:val="en-GB"/>
        </w:rPr>
        <w:t xml:space="preserve"> to its citizens to implement the TCI requirements into state </w:t>
      </w:r>
      <w:r w:rsidR="00212457" w:rsidRPr="002048C3">
        <w:rPr>
          <w:rFonts w:asciiTheme="majorHAnsi" w:hAnsiTheme="majorHAnsi" w:cstheme="majorHAnsi"/>
          <w:lang w:val="en-GB"/>
        </w:rPr>
        <w:t>statutes</w:t>
      </w:r>
      <w:r w:rsidRPr="002048C3">
        <w:rPr>
          <w:rFonts w:asciiTheme="majorHAnsi" w:hAnsiTheme="majorHAnsi" w:cstheme="majorHAnsi"/>
          <w:lang w:val="en-GB"/>
        </w:rPr>
        <w:t xml:space="preserve"> and </w:t>
      </w:r>
      <w:r w:rsidR="00AD6359">
        <w:rPr>
          <w:rFonts w:asciiTheme="majorHAnsi" w:hAnsiTheme="majorHAnsi" w:cstheme="majorHAnsi"/>
          <w:lang w:val="en-GB"/>
        </w:rPr>
        <w:t>r</w:t>
      </w:r>
      <w:r w:rsidRPr="002048C3">
        <w:rPr>
          <w:rFonts w:asciiTheme="majorHAnsi" w:hAnsiTheme="majorHAnsi" w:cstheme="majorHAnsi"/>
          <w:lang w:val="en-GB"/>
        </w:rPr>
        <w:t>eg</w:t>
      </w:r>
      <w:r w:rsidR="00AD6359">
        <w:rPr>
          <w:rFonts w:asciiTheme="majorHAnsi" w:hAnsiTheme="majorHAnsi" w:cstheme="majorHAnsi"/>
          <w:lang w:val="en-GB"/>
        </w:rPr>
        <w:t>u</w:t>
      </w:r>
      <w:r w:rsidRPr="002048C3">
        <w:rPr>
          <w:rFonts w:asciiTheme="majorHAnsi" w:hAnsiTheme="majorHAnsi" w:cstheme="majorHAnsi"/>
          <w:lang w:val="en-GB"/>
        </w:rPr>
        <w:t>lation</w:t>
      </w:r>
      <w:r w:rsidR="00AD6359">
        <w:rPr>
          <w:rFonts w:asciiTheme="majorHAnsi" w:hAnsiTheme="majorHAnsi" w:cstheme="majorHAnsi"/>
          <w:lang w:val="en-GB"/>
        </w:rPr>
        <w:t>s</w:t>
      </w:r>
      <w:r w:rsidRPr="002048C3">
        <w:rPr>
          <w:rFonts w:asciiTheme="majorHAnsi" w:hAnsiTheme="majorHAnsi" w:cstheme="majorHAnsi"/>
          <w:lang w:val="en-GB"/>
        </w:rPr>
        <w:t xml:space="preserve"> in such a way that ensures TCI funds are spent on their intended purposes.</w:t>
      </w:r>
      <w:r w:rsidR="00CC2DBB">
        <w:rPr>
          <w:rFonts w:asciiTheme="majorHAnsi" w:hAnsiTheme="majorHAnsi" w:cstheme="majorHAnsi"/>
          <w:lang w:val="en-GB"/>
        </w:rPr>
        <w:t xml:space="preserve">  </w:t>
      </w:r>
      <w:r w:rsidR="00783171" w:rsidRPr="002048C3">
        <w:rPr>
          <w:rFonts w:asciiTheme="majorHAnsi" w:hAnsiTheme="majorHAnsi" w:cstheme="majorHAnsi"/>
          <w:lang w:val="en-GB"/>
        </w:rPr>
        <w:t xml:space="preserve">Each of </w:t>
      </w:r>
      <w:r w:rsidR="00CC2DBB">
        <w:rPr>
          <w:rFonts w:asciiTheme="majorHAnsi" w:hAnsiTheme="majorHAnsi" w:cstheme="majorHAnsi"/>
          <w:lang w:val="en-GB"/>
        </w:rPr>
        <w:t>these issues</w:t>
      </w:r>
      <w:r w:rsidR="00783171" w:rsidRPr="002048C3">
        <w:rPr>
          <w:rFonts w:asciiTheme="majorHAnsi" w:hAnsiTheme="majorHAnsi" w:cstheme="majorHAnsi"/>
          <w:lang w:val="en-GB"/>
        </w:rPr>
        <w:t xml:space="preserve"> </w:t>
      </w:r>
      <w:r w:rsidR="00AD6359">
        <w:rPr>
          <w:rFonts w:asciiTheme="majorHAnsi" w:hAnsiTheme="majorHAnsi" w:cstheme="majorHAnsi"/>
          <w:lang w:val="en-GB"/>
        </w:rPr>
        <w:t>are</w:t>
      </w:r>
      <w:r w:rsidR="00783171" w:rsidRPr="002048C3">
        <w:rPr>
          <w:rFonts w:asciiTheme="majorHAnsi" w:hAnsiTheme="majorHAnsi" w:cstheme="majorHAnsi"/>
          <w:lang w:val="en-GB"/>
        </w:rPr>
        <w:t xml:space="preserve"> addressed in greater detail below</w:t>
      </w:r>
      <w:r w:rsidR="00CC2DBB">
        <w:rPr>
          <w:rFonts w:asciiTheme="majorHAnsi" w:hAnsiTheme="majorHAnsi" w:cstheme="majorHAnsi"/>
          <w:lang w:val="en-GB"/>
        </w:rPr>
        <w:t>.</w:t>
      </w:r>
    </w:p>
    <w:p w14:paraId="6ED887F3" w14:textId="03E46333" w:rsidR="00783171" w:rsidRPr="002048C3" w:rsidRDefault="00783171" w:rsidP="0037329F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</w:p>
    <w:p w14:paraId="4A45679A" w14:textId="4302322A" w:rsidR="00EE1778" w:rsidRPr="002048C3" w:rsidRDefault="00EE1778" w:rsidP="0037329F">
      <w:pPr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n-GB"/>
        </w:rPr>
      </w:pPr>
      <w:r w:rsidRPr="002048C3">
        <w:rPr>
          <w:rFonts w:asciiTheme="majorHAnsi" w:eastAsia="Times New Roman" w:hAnsiTheme="majorHAnsi" w:cstheme="majorHAnsi"/>
          <w:b/>
          <w:bCs/>
          <w:color w:val="1B1B1B"/>
          <w:lang w:eastAsia="en-GB"/>
        </w:rPr>
        <w:t>I. I</w:t>
      </w:r>
      <w:r w:rsidR="003B0970" w:rsidRPr="002048C3">
        <w:rPr>
          <w:rFonts w:asciiTheme="majorHAnsi" w:eastAsia="Times New Roman" w:hAnsiTheme="majorHAnsi" w:cstheme="majorHAnsi"/>
          <w:b/>
          <w:bCs/>
          <w:color w:val="1B1B1B"/>
          <w:lang w:eastAsia="en-GB"/>
        </w:rPr>
        <w:t>nclude requirements</w:t>
      </w:r>
      <w:r w:rsidRPr="002048C3">
        <w:rPr>
          <w:rFonts w:asciiTheme="majorHAnsi" w:eastAsia="Times New Roman" w:hAnsiTheme="majorHAnsi" w:cstheme="majorHAnsi"/>
          <w:b/>
          <w:bCs/>
          <w:color w:val="1B1B1B"/>
          <w:lang w:eastAsia="en-GB"/>
        </w:rPr>
        <w:t xml:space="preserve"> to safeguard and ensure TCI funds are spent on net-new </w:t>
      </w:r>
      <w:r w:rsidR="00A86693" w:rsidRPr="002048C3"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n-GB"/>
        </w:rPr>
        <w:t>clean transportation projects</w:t>
      </w:r>
      <w:r w:rsidR="00F816DA" w:rsidRPr="002048C3"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n-GB"/>
        </w:rPr>
        <w:t>.</w:t>
      </w:r>
    </w:p>
    <w:p w14:paraId="34984860" w14:textId="77777777" w:rsidR="0088325E" w:rsidRPr="002048C3" w:rsidRDefault="0088325E" w:rsidP="0037329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439DC265" w14:textId="7AD6572E" w:rsidR="00EE1778" w:rsidRPr="002048C3" w:rsidRDefault="003B0970" w:rsidP="0037329F">
      <w:pPr>
        <w:pStyle w:val="ListParagraph"/>
        <w:numPr>
          <w:ilvl w:val="0"/>
          <w:numId w:val="2"/>
        </w:numPr>
        <w:contextualSpacing w:val="0"/>
        <w:rPr>
          <w:rFonts w:asciiTheme="majorHAnsi" w:eastAsia="Times New Roman" w:hAnsiTheme="majorHAnsi" w:cstheme="majorHAnsi"/>
          <w:u w:val="single"/>
          <w:lang w:eastAsia="en-GB"/>
        </w:rPr>
      </w:pPr>
      <w:r w:rsidRPr="002048C3">
        <w:rPr>
          <w:rFonts w:asciiTheme="majorHAnsi" w:eastAsia="Times New Roman" w:hAnsiTheme="majorHAnsi" w:cstheme="majorHAnsi"/>
          <w:color w:val="000000"/>
          <w:u w:val="single"/>
          <w:shd w:val="clear" w:color="auto" w:fill="FFFFFF"/>
          <w:lang w:eastAsia="en-GB"/>
        </w:rPr>
        <w:t xml:space="preserve">TCI funds </w:t>
      </w:r>
      <w:r w:rsidR="00B57F55" w:rsidRPr="002048C3">
        <w:rPr>
          <w:rFonts w:asciiTheme="majorHAnsi" w:eastAsia="Times New Roman" w:hAnsiTheme="majorHAnsi" w:cstheme="majorHAnsi"/>
          <w:color w:val="000000"/>
          <w:u w:val="single"/>
          <w:shd w:val="clear" w:color="auto" w:fill="FFFFFF"/>
          <w:lang w:eastAsia="en-GB"/>
        </w:rPr>
        <w:t>should be</w:t>
      </w:r>
      <w:r w:rsidR="00F816DA" w:rsidRPr="002048C3">
        <w:rPr>
          <w:rFonts w:asciiTheme="majorHAnsi" w:eastAsia="Times New Roman" w:hAnsiTheme="majorHAnsi" w:cstheme="majorHAnsi"/>
          <w:color w:val="000000"/>
          <w:u w:val="single"/>
          <w:shd w:val="clear" w:color="auto" w:fill="FFFFFF"/>
          <w:lang w:eastAsia="en-GB"/>
        </w:rPr>
        <w:t xml:space="preserve"> </w:t>
      </w:r>
      <w:r w:rsidR="00F816DA"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 xml:space="preserve">spent </w:t>
      </w:r>
      <w:r w:rsidR="00AD6359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 xml:space="preserve">only </w:t>
      </w:r>
      <w:r w:rsidR="00F816DA"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>on purposes</w:t>
      </w:r>
      <w:r w:rsidR="00F816DA" w:rsidRPr="002048C3">
        <w:rPr>
          <w:rFonts w:asciiTheme="majorHAnsi" w:eastAsia="Times New Roman" w:hAnsiTheme="majorHAnsi" w:cstheme="majorHAnsi"/>
          <w:color w:val="000000"/>
          <w:u w:val="single"/>
          <w:shd w:val="clear" w:color="auto" w:fill="FFFFFF"/>
          <w:lang w:eastAsia="en-GB"/>
        </w:rPr>
        <w:t xml:space="preserve"> </w:t>
      </w:r>
      <w:r w:rsidR="00F816DA"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>related to TCI goals</w:t>
      </w:r>
      <w:r w:rsidR="00B57F55"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>.</w:t>
      </w:r>
    </w:p>
    <w:p w14:paraId="0CE30DAD" w14:textId="7727DBD0" w:rsidR="00591FF9" w:rsidRPr="002048C3" w:rsidRDefault="00591FF9" w:rsidP="0037329F">
      <w:pPr>
        <w:rPr>
          <w:rFonts w:asciiTheme="majorHAnsi" w:eastAsia="Times New Roman" w:hAnsiTheme="majorHAnsi" w:cstheme="majorHAnsi"/>
          <w:lang w:eastAsia="en-GB"/>
        </w:rPr>
      </w:pPr>
    </w:p>
    <w:p w14:paraId="4B783CBB" w14:textId="4CE302CF" w:rsidR="00B632B1" w:rsidRPr="002048C3" w:rsidRDefault="003B0970" w:rsidP="0037329F">
      <w:pPr>
        <w:rPr>
          <w:rFonts w:asciiTheme="majorHAnsi" w:eastAsia="Times New Roman" w:hAnsiTheme="majorHAnsi" w:cstheme="majorHAnsi"/>
          <w:lang w:eastAsia="en-GB"/>
        </w:rPr>
      </w:pPr>
      <w:r w:rsidRPr="002048C3">
        <w:rPr>
          <w:rFonts w:asciiTheme="majorHAnsi" w:eastAsia="Times New Roman" w:hAnsiTheme="majorHAnsi" w:cstheme="majorHAnsi"/>
          <w:lang w:eastAsia="en-GB"/>
        </w:rPr>
        <w:t xml:space="preserve">The </w:t>
      </w:r>
      <w:r w:rsidR="004E2DBF" w:rsidRPr="002048C3">
        <w:rPr>
          <w:rFonts w:asciiTheme="majorHAnsi" w:eastAsia="Times New Roman" w:hAnsiTheme="majorHAnsi" w:cstheme="majorHAnsi"/>
          <w:lang w:eastAsia="en-GB"/>
        </w:rPr>
        <w:t xml:space="preserve">draft </w:t>
      </w:r>
      <w:r w:rsidR="00CC2DBB">
        <w:rPr>
          <w:rFonts w:asciiTheme="majorHAnsi" w:eastAsia="Times New Roman" w:hAnsiTheme="majorHAnsi" w:cstheme="majorHAnsi"/>
          <w:lang w:eastAsia="en-GB"/>
        </w:rPr>
        <w:t>M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odel </w:t>
      </w:r>
      <w:r w:rsidR="00CC2DBB">
        <w:rPr>
          <w:rFonts w:asciiTheme="majorHAnsi" w:eastAsia="Times New Roman" w:hAnsiTheme="majorHAnsi" w:cstheme="majorHAnsi"/>
          <w:lang w:eastAsia="en-GB"/>
        </w:rPr>
        <w:t>R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ule </w:t>
      </w:r>
      <w:r w:rsidR="005F2B99" w:rsidRPr="002048C3">
        <w:rPr>
          <w:rFonts w:asciiTheme="majorHAnsi" w:eastAsia="Times New Roman" w:hAnsiTheme="majorHAnsi" w:cstheme="majorHAnsi"/>
          <w:lang w:eastAsia="en-GB"/>
        </w:rPr>
        <w:t xml:space="preserve">is </w:t>
      </w:r>
      <w:r w:rsidR="00B57F55" w:rsidRPr="002048C3">
        <w:rPr>
          <w:rFonts w:asciiTheme="majorHAnsi" w:eastAsia="Times New Roman" w:hAnsiTheme="majorHAnsi" w:cstheme="majorHAnsi"/>
          <w:lang w:eastAsia="en-GB"/>
        </w:rPr>
        <w:t xml:space="preserve">largely </w:t>
      </w:r>
      <w:r w:rsidR="005F2B99" w:rsidRPr="002048C3">
        <w:rPr>
          <w:rFonts w:asciiTheme="majorHAnsi" w:eastAsia="Times New Roman" w:hAnsiTheme="majorHAnsi" w:cstheme="majorHAnsi"/>
          <w:lang w:eastAsia="en-GB"/>
        </w:rPr>
        <w:t xml:space="preserve">silent on 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 xml:space="preserve">measures to ensure </w:t>
      </w:r>
      <w:r w:rsidR="005F2B99" w:rsidRPr="002048C3">
        <w:rPr>
          <w:rFonts w:asciiTheme="majorHAnsi" w:eastAsia="Times New Roman" w:hAnsiTheme="majorHAnsi" w:cstheme="majorHAnsi"/>
          <w:lang w:eastAsia="en-GB"/>
        </w:rPr>
        <w:t>that</w:t>
      </w:r>
      <w:r w:rsidR="004E2DBF" w:rsidRPr="002048C3">
        <w:rPr>
          <w:rFonts w:asciiTheme="majorHAnsi" w:eastAsia="Times New Roman" w:hAnsiTheme="majorHAnsi" w:cstheme="majorHAnsi"/>
          <w:lang w:eastAsia="en-GB"/>
        </w:rPr>
        <w:t xml:space="preserve"> TCI funds are 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 xml:space="preserve">spent by </w:t>
      </w:r>
      <w:r w:rsidR="00D73A97">
        <w:rPr>
          <w:rFonts w:asciiTheme="majorHAnsi" w:eastAsia="Times New Roman" w:hAnsiTheme="majorHAnsi" w:cstheme="majorHAnsi"/>
          <w:lang w:eastAsia="en-GB"/>
        </w:rPr>
        <w:t>S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 xml:space="preserve">ignatory </w:t>
      </w:r>
      <w:r w:rsidR="00D73A97">
        <w:rPr>
          <w:rFonts w:asciiTheme="majorHAnsi" w:eastAsia="Times New Roman" w:hAnsiTheme="majorHAnsi" w:cstheme="majorHAnsi"/>
          <w:lang w:eastAsia="en-GB"/>
        </w:rPr>
        <w:t>J</w:t>
      </w:r>
      <w:r w:rsidR="00CC2DBB">
        <w:rPr>
          <w:rFonts w:asciiTheme="majorHAnsi" w:eastAsia="Times New Roman" w:hAnsiTheme="majorHAnsi" w:cstheme="majorHAnsi"/>
          <w:lang w:eastAsia="en-GB"/>
        </w:rPr>
        <w:t>urisdictions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 xml:space="preserve"> on </w:t>
      </w:r>
      <w:r w:rsidR="004E2DBF" w:rsidRPr="002048C3">
        <w:rPr>
          <w:rFonts w:asciiTheme="majorHAnsi" w:eastAsia="Times New Roman" w:hAnsiTheme="majorHAnsi" w:cstheme="majorHAnsi"/>
          <w:lang w:eastAsia="en-GB"/>
        </w:rPr>
        <w:t xml:space="preserve">projects that further the TCI’s goals. The </w:t>
      </w:r>
      <w:r w:rsidR="00D73A97">
        <w:rPr>
          <w:rFonts w:asciiTheme="majorHAnsi" w:eastAsia="Times New Roman" w:hAnsiTheme="majorHAnsi" w:cstheme="majorHAnsi"/>
          <w:lang w:eastAsia="en-GB"/>
        </w:rPr>
        <w:t>M</w:t>
      </w:r>
      <w:r w:rsidR="004E2DBF" w:rsidRPr="002048C3">
        <w:rPr>
          <w:rFonts w:asciiTheme="majorHAnsi" w:eastAsia="Times New Roman" w:hAnsiTheme="majorHAnsi" w:cstheme="majorHAnsi"/>
          <w:lang w:eastAsia="en-GB"/>
        </w:rPr>
        <w:t xml:space="preserve">odel </w:t>
      </w:r>
      <w:r w:rsidR="00D73A97">
        <w:rPr>
          <w:rFonts w:asciiTheme="majorHAnsi" w:eastAsia="Times New Roman" w:hAnsiTheme="majorHAnsi" w:cstheme="majorHAnsi"/>
          <w:lang w:eastAsia="en-GB"/>
        </w:rPr>
        <w:t>R</w:t>
      </w:r>
      <w:r w:rsidR="004E2DBF" w:rsidRPr="002048C3">
        <w:rPr>
          <w:rFonts w:asciiTheme="majorHAnsi" w:eastAsia="Times New Roman" w:hAnsiTheme="majorHAnsi" w:cstheme="majorHAnsi"/>
          <w:lang w:eastAsia="en-GB"/>
        </w:rPr>
        <w:t xml:space="preserve">ule 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should 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 xml:space="preserve">be amended to include provisions that require 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TCI auction proceeds </w:t>
      </w:r>
      <w:r w:rsidR="00CC2DBB">
        <w:rPr>
          <w:rFonts w:asciiTheme="majorHAnsi" w:eastAsia="Times New Roman" w:hAnsiTheme="majorHAnsi" w:cstheme="majorHAnsi"/>
          <w:lang w:eastAsia="en-GB"/>
        </w:rPr>
        <w:t xml:space="preserve">to 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>be deposited in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 dedicated fund</w:t>
      </w:r>
      <w:r w:rsidR="00CC2DBB">
        <w:rPr>
          <w:rFonts w:asciiTheme="majorHAnsi" w:eastAsia="Times New Roman" w:hAnsiTheme="majorHAnsi" w:cstheme="majorHAnsi"/>
          <w:lang w:eastAsia="en-GB"/>
        </w:rPr>
        <w:t>s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 that can only </w:t>
      </w:r>
      <w:r w:rsidR="00783380" w:rsidRPr="002048C3">
        <w:rPr>
          <w:rFonts w:asciiTheme="majorHAnsi" w:eastAsia="Times New Roman" w:hAnsiTheme="majorHAnsi" w:cstheme="majorHAnsi"/>
          <w:lang w:eastAsia="en-GB"/>
        </w:rPr>
        <w:t xml:space="preserve">be spent on 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projects that further the TCI 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 xml:space="preserve">purposes as defined in XX </w:t>
      </w:r>
      <w:r w:rsidR="000A3058" w:rsidRPr="002048C3">
        <w:rPr>
          <w:rFonts w:asciiTheme="majorHAnsi" w:eastAsia="Times New Roman" w:hAnsiTheme="majorHAnsi" w:cstheme="majorHAnsi"/>
          <w:lang w:eastAsia="en-GB"/>
        </w:rPr>
        <w:t>1.</w:t>
      </w:r>
      <w:r w:rsidR="002A229D">
        <w:rPr>
          <w:rFonts w:asciiTheme="majorHAnsi" w:eastAsia="Times New Roman" w:hAnsiTheme="majorHAnsi" w:cstheme="majorHAnsi"/>
          <w:lang w:eastAsia="en-GB"/>
        </w:rPr>
        <w:t>1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. </w:t>
      </w:r>
      <w:r w:rsidR="00CC2DBB">
        <w:rPr>
          <w:rFonts w:asciiTheme="majorHAnsi" w:eastAsia="Times New Roman" w:hAnsiTheme="majorHAnsi" w:cstheme="majorHAnsi"/>
          <w:lang w:eastAsia="en-GB"/>
        </w:rPr>
        <w:t>L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oopholes 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allowing the diversion of funds </w:t>
      </w:r>
      <w:r w:rsidR="005F2B99" w:rsidRPr="002048C3">
        <w:rPr>
          <w:rFonts w:asciiTheme="majorHAnsi" w:eastAsia="Times New Roman" w:hAnsiTheme="majorHAnsi" w:cstheme="majorHAnsi"/>
          <w:lang w:eastAsia="en-GB"/>
        </w:rPr>
        <w:t>to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 unrelated state budget purposes should be closed.</w:t>
      </w:r>
      <w:r w:rsidR="00B632B1" w:rsidRPr="002048C3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56BBFAFA" w14:textId="77777777" w:rsidR="00B632B1" w:rsidRPr="002048C3" w:rsidRDefault="00B632B1" w:rsidP="0037329F">
      <w:pPr>
        <w:rPr>
          <w:rFonts w:asciiTheme="majorHAnsi" w:eastAsia="Times New Roman" w:hAnsiTheme="majorHAnsi" w:cstheme="majorHAnsi"/>
          <w:lang w:eastAsia="en-GB"/>
        </w:rPr>
      </w:pPr>
    </w:p>
    <w:p w14:paraId="57ED250F" w14:textId="0D595DF1" w:rsidR="00263BF8" w:rsidRPr="002048C3" w:rsidRDefault="002A229D" w:rsidP="0037329F">
      <w:pPr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For example, p</w:t>
      </w:r>
      <w:r w:rsidR="00B85024" w:rsidRPr="002048C3">
        <w:rPr>
          <w:rFonts w:asciiTheme="majorHAnsi" w:eastAsia="Times New Roman" w:hAnsiTheme="majorHAnsi" w:cstheme="majorHAnsi"/>
          <w:lang w:eastAsia="en-GB"/>
        </w:rPr>
        <w:t xml:space="preserve">ast </w:t>
      </w:r>
      <w:r w:rsidR="005F2B99" w:rsidRPr="002048C3">
        <w:rPr>
          <w:rFonts w:asciiTheme="majorHAnsi" w:eastAsia="Times New Roman" w:hAnsiTheme="majorHAnsi" w:cstheme="majorHAnsi"/>
          <w:lang w:eastAsia="en-GB"/>
        </w:rPr>
        <w:t xml:space="preserve">state budget records </w:t>
      </w:r>
      <w:r w:rsidR="00B632B1" w:rsidRPr="002048C3">
        <w:rPr>
          <w:rFonts w:asciiTheme="majorHAnsi" w:eastAsia="Times New Roman" w:hAnsiTheme="majorHAnsi" w:cstheme="majorHAnsi"/>
          <w:lang w:eastAsia="en-GB"/>
        </w:rPr>
        <w:t xml:space="preserve">from the TCI signatory state of Connecticut </w:t>
      </w:r>
      <w:r w:rsidR="0025319A" w:rsidRPr="002048C3">
        <w:rPr>
          <w:rFonts w:asciiTheme="majorHAnsi" w:eastAsia="Times New Roman" w:hAnsiTheme="majorHAnsi" w:cstheme="majorHAnsi"/>
          <w:lang w:eastAsia="en-GB"/>
        </w:rPr>
        <w:t>show how</w:t>
      </w:r>
      <w:r w:rsidR="00B85024" w:rsidRPr="002048C3">
        <w:rPr>
          <w:rFonts w:asciiTheme="majorHAnsi" w:eastAsia="Times New Roman" w:hAnsiTheme="majorHAnsi" w:cstheme="majorHAnsi"/>
          <w:lang w:eastAsia="en-GB"/>
        </w:rPr>
        <w:t xml:space="preserve"> legislative loopholes could hamper </w:t>
      </w:r>
      <w:r w:rsidR="00FB7495" w:rsidRPr="002048C3">
        <w:rPr>
          <w:rFonts w:asciiTheme="majorHAnsi" w:eastAsia="Times New Roman" w:hAnsiTheme="majorHAnsi" w:cstheme="majorHAnsi"/>
          <w:lang w:eastAsia="en-GB"/>
        </w:rPr>
        <w:t>the progress of the</w:t>
      </w:r>
      <w:r w:rsidR="00B85024" w:rsidRPr="002048C3">
        <w:rPr>
          <w:rFonts w:asciiTheme="majorHAnsi" w:eastAsia="Times New Roman" w:hAnsiTheme="majorHAnsi" w:cstheme="majorHAnsi"/>
          <w:lang w:eastAsia="en-GB"/>
        </w:rPr>
        <w:t xml:space="preserve"> TCI program</w:t>
      </w:r>
      <w:r w:rsidR="0025319A" w:rsidRPr="002048C3">
        <w:rPr>
          <w:rFonts w:asciiTheme="majorHAnsi" w:eastAsia="Times New Roman" w:hAnsiTheme="majorHAnsi" w:cstheme="majorHAnsi"/>
          <w:lang w:eastAsia="en-GB"/>
        </w:rPr>
        <w:t xml:space="preserve"> through funds diversion</w:t>
      </w:r>
      <w:r w:rsidR="00B85024" w:rsidRPr="002048C3">
        <w:rPr>
          <w:rFonts w:asciiTheme="majorHAnsi" w:eastAsia="Times New Roman" w:hAnsiTheme="majorHAnsi" w:cstheme="majorHAnsi"/>
          <w:lang w:eastAsia="en-GB"/>
        </w:rPr>
        <w:t>.</w:t>
      </w:r>
      <w:r w:rsidR="00263BF8" w:rsidRPr="002048C3">
        <w:rPr>
          <w:rFonts w:asciiTheme="majorHAnsi" w:eastAsia="Times New Roman" w:hAnsiTheme="majorHAnsi" w:cstheme="majorHAnsi"/>
          <w:lang w:eastAsia="en-GB"/>
        </w:rPr>
        <w:t xml:space="preserve">  </w:t>
      </w:r>
      <w:r w:rsidR="0025319A" w:rsidRPr="002048C3">
        <w:rPr>
          <w:rFonts w:asciiTheme="majorHAnsi" w:eastAsia="Times New Roman" w:hAnsiTheme="majorHAnsi" w:cstheme="majorHAnsi"/>
          <w:lang w:eastAsia="en-GB"/>
        </w:rPr>
        <w:t xml:space="preserve">The </w:t>
      </w:r>
      <w:r w:rsidR="00263BF8" w:rsidRPr="002048C3">
        <w:rPr>
          <w:rFonts w:asciiTheme="majorHAnsi" w:eastAsia="Times New Roman" w:hAnsiTheme="majorHAnsi" w:cstheme="majorHAnsi"/>
          <w:lang w:eastAsia="en-GB"/>
        </w:rPr>
        <w:t>Governor’s Bill 884</w:t>
      </w:r>
      <w:r w:rsidR="00263BF8" w:rsidRPr="002048C3">
        <w:rPr>
          <w:rStyle w:val="FootnoteReference"/>
          <w:rFonts w:asciiTheme="majorHAnsi" w:eastAsia="Times New Roman" w:hAnsiTheme="majorHAnsi" w:cstheme="majorHAnsi"/>
          <w:lang w:eastAsia="en-GB"/>
        </w:rPr>
        <w:footnoteReference w:id="1"/>
      </w:r>
      <w:r w:rsidR="0025319A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 requires </w:t>
      </w:r>
      <w:r w:rsidR="0025319A" w:rsidRPr="002048C3">
        <w:rPr>
          <w:rFonts w:asciiTheme="majorHAnsi" w:eastAsia="Times New Roman" w:hAnsiTheme="majorHAnsi" w:cstheme="majorHAnsi"/>
          <w:lang w:eastAsia="en-GB"/>
        </w:rPr>
        <w:t xml:space="preserve">TCI funds to be deposited into the </w:t>
      </w:r>
      <w:r w:rsidR="0025319A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Transportation Grants and Restricted Funds Account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(TGRFA)</w:t>
      </w:r>
      <w:r w:rsidR="0025319A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, </w:t>
      </w:r>
      <w:r w:rsidR="00303617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which</w:t>
      </w:r>
      <w:r w:rsidR="005F2B9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,</w:t>
      </w:r>
      <w:r w:rsidR="00303617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303617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according to state statute,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“shall contain all transportation moneys that are restricted, not available for general use”</w:t>
      </w:r>
      <w:r w:rsidR="00886CE9">
        <w:rPr>
          <w:rStyle w:val="FootnoteReference"/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footnoteReference w:id="2"/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. The TGRFA </w:t>
      </w:r>
      <w:r w:rsidR="00FB749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is subjected to similar provisions as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the Special Transportation Fund (STF)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.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Connecticut voters approved 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the STF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in 2018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. The STF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5F2B9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requir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ed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funds </w:t>
      </w:r>
      <w:r w:rsidR="005F2B9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to be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protected by a constitutional lockbox that prevents the legislature from sweeping funds out of the STF to close General Fund budget gaps 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unrelated to</w:t>
      </w:r>
      <w:r w:rsidR="00FB749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transport</w:t>
      </w:r>
      <w:r w:rsidR="000A305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ation projects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. </w:t>
      </w:r>
      <w:r w:rsidR="00FB7495" w:rsidRPr="002048C3">
        <w:rPr>
          <w:rFonts w:asciiTheme="majorHAnsi" w:eastAsia="Times New Roman" w:hAnsiTheme="majorHAnsi" w:cstheme="majorHAnsi"/>
          <w:lang w:eastAsia="en-GB"/>
        </w:rPr>
        <w:t>Despite this</w:t>
      </w:r>
      <w:r w:rsidR="00263BF8" w:rsidRPr="002048C3">
        <w:rPr>
          <w:rFonts w:asciiTheme="majorHAnsi" w:eastAsia="Times New Roman" w:hAnsiTheme="majorHAnsi" w:cstheme="majorHAnsi"/>
          <w:lang w:eastAsia="en-GB"/>
        </w:rPr>
        <w:t xml:space="preserve">,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the Connecticut governor and legislature </w:t>
      </w:r>
      <w:r w:rsidR="00FB749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have been accused of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bypass</w:t>
      </w:r>
      <w:r w:rsidR="00FB749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ing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lockbox protections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,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FB749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by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divert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ing</w:t>
      </w:r>
      <w:r w:rsidR="00263BF8" w:rsidRPr="002048C3">
        <w:rPr>
          <w:rFonts w:asciiTheme="majorHAnsi" w:eastAsia="Times New Roman" w:hAnsiTheme="majorHAnsi" w:cstheme="majorHAnsi"/>
          <w:lang w:eastAsia="en-GB"/>
        </w:rPr>
        <w:t xml:space="preserve">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$170 million in </w:t>
      </w:r>
      <w:r w:rsidR="00FB749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2019 and 2020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vehicle sales tax</w:t>
      </w:r>
      <w:r w:rsidR="00263BF8" w:rsidRPr="002048C3">
        <w:rPr>
          <w:rFonts w:asciiTheme="majorHAnsi" w:eastAsia="Times New Roman" w:hAnsiTheme="majorHAnsi" w:cstheme="majorHAnsi"/>
          <w:lang w:eastAsia="en-GB"/>
        </w:rPr>
        <w:t xml:space="preserve"> </w:t>
      </w:r>
      <w:r w:rsidR="00263BF8" w:rsidRPr="00886CE9">
        <w:rPr>
          <w:rFonts w:asciiTheme="majorHAnsi" w:eastAsia="Times New Roman" w:hAnsiTheme="majorHAnsi" w:cstheme="majorHAnsi"/>
          <w:i/>
          <w:lang w:eastAsia="en-GB"/>
        </w:rPr>
        <w:t>before</w:t>
      </w:r>
      <w:r w:rsidR="00263BF8" w:rsidRPr="002048C3">
        <w:rPr>
          <w:rFonts w:asciiTheme="majorHAnsi" w:eastAsia="Times New Roman" w:hAnsiTheme="majorHAnsi" w:cstheme="majorHAnsi"/>
          <w:lang w:eastAsia="en-GB"/>
        </w:rPr>
        <w:t xml:space="preserve"> the funds reached </w:t>
      </w:r>
      <w:r w:rsidR="00263BF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the STF</w:t>
      </w:r>
      <w:r w:rsidR="00263BF8" w:rsidRPr="002048C3">
        <w:rPr>
          <w:rStyle w:val="FootnoteReference"/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footnoteReference w:id="3"/>
      </w:r>
      <w:r w:rsidR="00FB749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.</w:t>
      </w:r>
      <w:r w:rsidR="005F2B9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Given 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that 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l</w:t>
      </w:r>
      <w:r w:rsidR="005F2B9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ockbox protections only apply to funds that ha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ve</w:t>
      </w:r>
      <w:r w:rsidR="005F2B9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already been deposited into the STF, </w:t>
      </w:r>
      <w:r w:rsidR="000A305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a loophole </w:t>
      </w:r>
      <w:r w:rsidR="000A305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exists</w:t>
      </w:r>
      <w:r w:rsidR="005F2B9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.  </w:t>
      </w:r>
    </w:p>
    <w:p w14:paraId="41953CD3" w14:textId="3FB38558" w:rsidR="00263BF8" w:rsidRPr="002048C3" w:rsidRDefault="00263BF8" w:rsidP="0037329F">
      <w:pPr>
        <w:rPr>
          <w:rFonts w:asciiTheme="majorHAnsi" w:eastAsia="Times New Roman" w:hAnsiTheme="majorHAnsi" w:cstheme="majorHAnsi"/>
          <w:lang w:eastAsia="en-GB"/>
        </w:rPr>
      </w:pPr>
    </w:p>
    <w:p w14:paraId="7D728969" w14:textId="2A3C2583" w:rsidR="00B57F55" w:rsidRPr="002048C3" w:rsidRDefault="00B632B1" w:rsidP="0037329F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</w:pP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The public’s willingness to </w:t>
      </w:r>
      <w:r w:rsidR="00591FF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pay higher gasoline costs </w:t>
      </w: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to fund the TCI is based on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the 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commitment by s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ignatory states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to use </w:t>
      </w: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auction proceeds 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to</w:t>
      </w:r>
      <w:r w:rsidR="00591FF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lower t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ransportation</w:t>
      </w:r>
      <w:r w:rsidR="00591FF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emissions </w:t>
      </w:r>
      <w:r w:rsidR="00BD74F4" w:rsidRPr="002048C3">
        <w:rPr>
          <w:rFonts w:asciiTheme="majorHAnsi" w:hAnsiTheme="majorHAnsi" w:cstheme="majorHAnsi"/>
          <w:lang w:val="en-GB"/>
        </w:rPr>
        <w:t xml:space="preserve">in a way that improves public health, increases mobility and create new </w:t>
      </w:r>
      <w:r w:rsidR="00BD74F4" w:rsidRPr="002048C3">
        <w:rPr>
          <w:rFonts w:asciiTheme="majorHAnsi" w:hAnsiTheme="majorHAnsi" w:cstheme="majorHAnsi"/>
          <w:lang w:val="en-GB"/>
        </w:rPr>
        <w:t xml:space="preserve">economic </w:t>
      </w:r>
      <w:r w:rsidR="00BD74F4" w:rsidRPr="002048C3">
        <w:rPr>
          <w:rFonts w:asciiTheme="majorHAnsi" w:hAnsiTheme="majorHAnsi" w:cstheme="majorHAnsi"/>
          <w:lang w:val="en-GB"/>
        </w:rPr>
        <w:lastRenderedPageBreak/>
        <w:t>opportunities</w:t>
      </w:r>
      <w:r w:rsidR="00591FF9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.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To maintain the public’s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trust and support for the scheme, 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the 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M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odel 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R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ule should be amended to safeguard raised funds in a dedicated TCI fund, 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as well as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guardrails to prevent diversion 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of funds to</w:t>
      </w:r>
      <w:r w:rsidR="00B57F5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unrelated purposes. </w:t>
      </w:r>
    </w:p>
    <w:p w14:paraId="33B24989" w14:textId="2AC917EE" w:rsidR="00B57F55" w:rsidRPr="002048C3" w:rsidRDefault="00B57F55" w:rsidP="0037329F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asciiTheme="majorHAnsi" w:eastAsia="Times New Roman" w:hAnsiTheme="majorHAnsi" w:cstheme="majorHAnsi"/>
          <w:color w:val="1B1B1B"/>
          <w:u w:val="single"/>
          <w:lang w:eastAsia="en-GB"/>
        </w:rPr>
      </w:pPr>
      <w:r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>TCI funds should be used to fund net-new transport</w:t>
      </w:r>
      <w:r w:rsidR="00857989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>ation</w:t>
      </w:r>
      <w:r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 xml:space="preserve"> emissions reduction projects, rather than </w:t>
      </w:r>
      <w:r w:rsidR="0088325E"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>subsidizing</w:t>
      </w:r>
      <w:r w:rsidRPr="002048C3">
        <w:rPr>
          <w:rFonts w:asciiTheme="majorHAnsi" w:eastAsia="Times New Roman" w:hAnsiTheme="majorHAnsi" w:cstheme="majorHAnsi"/>
          <w:color w:val="1B1B1B"/>
          <w:u w:val="single"/>
          <w:lang w:eastAsia="en-GB"/>
        </w:rPr>
        <w:t xml:space="preserve"> existing transportation budgets.</w:t>
      </w:r>
    </w:p>
    <w:p w14:paraId="1EE8875F" w14:textId="7CCBBCF6" w:rsidR="000127CA" w:rsidRPr="002048C3" w:rsidRDefault="00B57F55" w:rsidP="0037329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1B1B1B"/>
          <w:lang w:eastAsia="en-GB"/>
        </w:rPr>
      </w:pP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TCI funds 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should </w:t>
      </w:r>
      <w:r w:rsidR="00212457">
        <w:rPr>
          <w:rFonts w:asciiTheme="majorHAnsi" w:eastAsia="Times New Roman" w:hAnsiTheme="majorHAnsi" w:cstheme="majorHAnsi"/>
          <w:color w:val="1B1B1B"/>
          <w:lang w:eastAsia="en-GB"/>
        </w:rPr>
        <w:t xml:space="preserve">only be used to fund </w:t>
      </w:r>
      <w:r w:rsidR="00212457">
        <w:rPr>
          <w:rFonts w:asciiTheme="majorHAnsi" w:eastAsia="Times New Roman" w:hAnsiTheme="majorHAnsi" w:cstheme="majorHAnsi"/>
          <w:color w:val="1B1B1B"/>
          <w:lang w:eastAsia="en-GB"/>
        </w:rPr>
        <w:t xml:space="preserve">“net-new” </w:t>
      </w:r>
      <w:r w:rsidR="00212457">
        <w:rPr>
          <w:rFonts w:asciiTheme="majorHAnsi" w:eastAsia="Times New Roman" w:hAnsiTheme="majorHAnsi" w:cstheme="majorHAnsi"/>
          <w:color w:val="1B1B1B"/>
          <w:lang w:eastAsia="en-GB"/>
        </w:rPr>
        <w:t>transportation emissions reduction projects</w:t>
      </w:r>
      <w:r w:rsidR="00BC2C71">
        <w:rPr>
          <w:rFonts w:asciiTheme="majorHAnsi" w:eastAsia="Times New Roman" w:hAnsiTheme="majorHAnsi" w:cstheme="majorHAnsi"/>
          <w:color w:val="1B1B1B"/>
          <w:lang w:eastAsia="en-GB"/>
        </w:rPr>
        <w:t>: i.e., projects</w:t>
      </w:r>
      <w:r w:rsidR="00212457">
        <w:rPr>
          <w:rFonts w:asciiTheme="majorHAnsi" w:eastAsia="Times New Roman" w:hAnsiTheme="majorHAnsi" w:cstheme="majorHAnsi"/>
          <w:color w:val="1B1B1B"/>
          <w:lang w:eastAsia="en-GB"/>
        </w:rPr>
        <w:t xml:space="preserve"> that are outside of, or additional to projects that would have ordinarily been funded by existing state transportation budgets. TCI funds should 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not be used 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>to</w:t>
      </w: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 subsidize 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>or re</w:t>
      </w:r>
      <w:r w:rsidR="00CB5A0D" w:rsidRPr="002048C3">
        <w:rPr>
          <w:rFonts w:asciiTheme="majorHAnsi" w:eastAsia="Times New Roman" w:hAnsiTheme="majorHAnsi" w:cstheme="majorHAnsi"/>
          <w:color w:val="1B1B1B"/>
          <w:lang w:eastAsia="en-GB"/>
        </w:rPr>
        <w:t>duce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 </w:t>
      </w:r>
      <w:r w:rsidR="00CB5A0D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existing 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annual state </w:t>
      </w: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>transportation budget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s that would have ordinarily </w:t>
      </w:r>
      <w:r w:rsidR="00BD74F4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been </w:t>
      </w:r>
      <w:r w:rsidR="000A3058" w:rsidRPr="002048C3">
        <w:rPr>
          <w:rFonts w:asciiTheme="majorHAnsi" w:eastAsia="Times New Roman" w:hAnsiTheme="majorHAnsi" w:cstheme="majorHAnsi"/>
          <w:color w:val="1B1B1B"/>
          <w:lang w:eastAsia="en-GB"/>
        </w:rPr>
        <w:t>allocated</w:t>
      </w:r>
      <w:r w:rsidR="00CB5A0D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 </w:t>
      </w:r>
      <w:r w:rsidR="000A3058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in the absence of 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>TCI</w:t>
      </w: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, such as 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>for the maintenance of</w:t>
      </w: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 existing </w:t>
      </w:r>
      <w:r w:rsidR="00BD74F4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roads or </w:t>
      </w:r>
      <w:r w:rsidR="00CB5A0D" w:rsidRPr="002048C3">
        <w:rPr>
          <w:rFonts w:asciiTheme="majorHAnsi" w:eastAsia="Times New Roman" w:hAnsiTheme="majorHAnsi" w:cstheme="majorHAnsi"/>
          <w:color w:val="1B1B1B"/>
          <w:lang w:eastAsia="en-GB"/>
        </w:rPr>
        <w:t>public transit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 </w:t>
      </w:r>
      <w:r w:rsidRPr="002048C3">
        <w:rPr>
          <w:rFonts w:asciiTheme="majorHAnsi" w:eastAsia="Times New Roman" w:hAnsiTheme="majorHAnsi" w:cstheme="majorHAnsi"/>
          <w:color w:val="1B1B1B"/>
          <w:lang w:eastAsia="en-GB"/>
        </w:rPr>
        <w:t>infrastructur</w:t>
      </w:r>
      <w:r w:rsidR="000127CA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e. </w:t>
      </w:r>
    </w:p>
    <w:p w14:paraId="40778523" w14:textId="5174935A" w:rsidR="005F2B99" w:rsidRPr="002048C3" w:rsidRDefault="000127CA" w:rsidP="0037329F">
      <w:pPr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</w:pP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Connecticut</w:t>
      </w:r>
      <w:r w:rsidR="006003E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’s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6003E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case</w:t>
      </w: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demonstrate</w:t>
      </w:r>
      <w:r w:rsidR="006003E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s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th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e effect of</w:t>
      </w:r>
      <w:r w:rsidR="000A305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the </w:t>
      </w:r>
      <w:r w:rsidR="009F361B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Model Rule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’s</w:t>
      </w:r>
      <w:r w:rsidR="009F361B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0A305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lack</w:t>
      </w:r>
      <w:r w:rsidR="00857989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of</w:t>
      </w:r>
      <w:r w:rsidR="000A3058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clarity </w:t>
      </w:r>
      <w:r w:rsidR="00BD74F4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on investment requirements. Connecticut’s </w:t>
      </w:r>
      <w:r w:rsidR="00CB5A0D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current</w:t>
      </w: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budget proposal shows TCI funds </w:t>
      </w:r>
      <w:r w:rsidR="00CB5A0D" w:rsidRPr="002048C3">
        <w:rPr>
          <w:rFonts w:asciiTheme="majorHAnsi" w:eastAsia="Times New Roman" w:hAnsiTheme="majorHAnsi" w:cstheme="majorHAnsi"/>
          <w:lang w:eastAsia="en-GB"/>
        </w:rPr>
        <w:t xml:space="preserve">allocated </w:t>
      </w:r>
      <w:r w:rsidR="0088325E" w:rsidRPr="002048C3">
        <w:rPr>
          <w:rFonts w:asciiTheme="majorHAnsi" w:eastAsia="Times New Roman" w:hAnsiTheme="majorHAnsi" w:cstheme="majorHAnsi"/>
          <w:lang w:eastAsia="en-GB"/>
        </w:rPr>
        <w:t>to</w:t>
      </w:r>
      <w:r w:rsidRPr="002048C3">
        <w:rPr>
          <w:rFonts w:asciiTheme="majorHAnsi" w:eastAsia="Times New Roman" w:hAnsiTheme="majorHAnsi" w:cstheme="majorHAnsi"/>
          <w:lang w:eastAsia="en-GB"/>
        </w:rPr>
        <w:t xml:space="preserve"> </w:t>
      </w:r>
      <w:r w:rsidR="006003EF" w:rsidRPr="002048C3">
        <w:rPr>
          <w:rFonts w:asciiTheme="majorHAnsi" w:eastAsia="Times New Roman" w:hAnsiTheme="majorHAnsi" w:cstheme="majorHAnsi"/>
          <w:lang w:eastAsia="en-GB"/>
        </w:rPr>
        <w:t xml:space="preserve">replace and </w:t>
      </w:r>
      <w:r w:rsidRPr="002048C3">
        <w:rPr>
          <w:rFonts w:asciiTheme="majorHAnsi" w:eastAsia="Times New Roman" w:hAnsiTheme="majorHAnsi" w:cstheme="majorHAnsi"/>
          <w:lang w:eastAsia="en-GB"/>
        </w:rPr>
        <w:t>reduce existing transportation expenditure</w:t>
      </w:r>
      <w:r w:rsidR="006027FA">
        <w:rPr>
          <w:rFonts w:asciiTheme="majorHAnsi" w:eastAsia="Times New Roman" w:hAnsiTheme="majorHAnsi" w:cstheme="majorHAnsi"/>
          <w:lang w:eastAsia="en-GB"/>
        </w:rPr>
        <w:t xml:space="preserve">, with TCI funding </w:t>
      </w:r>
      <w:r w:rsidR="00221F40">
        <w:rPr>
          <w:rFonts w:asciiTheme="majorHAnsi" w:eastAsia="Times New Roman" w:hAnsiTheme="majorHAnsi" w:cstheme="majorHAnsi"/>
          <w:lang w:eastAsia="en-GB"/>
        </w:rPr>
        <w:t>for</w:t>
      </w:r>
      <w:r w:rsidR="006027FA">
        <w:rPr>
          <w:rFonts w:asciiTheme="majorHAnsi" w:eastAsia="Times New Roman" w:hAnsiTheme="majorHAnsi" w:cstheme="majorHAnsi"/>
          <w:lang w:eastAsia="en-GB"/>
        </w:rPr>
        <w:t xml:space="preserve"> this purpose growing</w:t>
      </w:r>
      <w:r w:rsidR="00CB5A0D" w:rsidRPr="002048C3">
        <w:rPr>
          <w:rFonts w:asciiTheme="majorHAnsi" w:eastAsia="Times New Roman" w:hAnsiTheme="majorHAnsi" w:cstheme="majorHAnsi"/>
          <w:lang w:eastAsia="en-GB"/>
        </w:rPr>
        <w:t xml:space="preserve"> from </w:t>
      </w:r>
      <w:r w:rsidR="00CB5A0D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$24.3 million in 2023 to $69 million by 2026</w:t>
      </w:r>
      <w:r w:rsidR="00CB5A0D" w:rsidRPr="002048C3">
        <w:rPr>
          <w:rStyle w:val="FootnoteReference"/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footnoteReference w:id="4"/>
      </w:r>
      <w:r w:rsidR="00CB5A0D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.  </w:t>
      </w:r>
      <w:r w:rsidR="0088325E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This </w:t>
      </w:r>
      <w:r w:rsidR="006027FA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is</w:t>
      </w:r>
      <w:r w:rsidR="007D6B81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a</w:t>
      </w:r>
      <w:r w:rsidR="0088325E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loophole allowing Connecticut to reduce </w:t>
      </w:r>
      <w:r w:rsidR="00A42FB3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its</w:t>
      </w:r>
      <w:r w:rsidR="0088325E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existing transportation-related budget, </w:t>
      </w:r>
      <w:r w:rsidR="006027FA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and</w:t>
      </w:r>
      <w:r w:rsidR="006003E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redirect funds</w:t>
      </w:r>
      <w:r w:rsidR="0088325E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to non-transport related </w:t>
      </w:r>
      <w:r w:rsidR="006003E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spend</w:t>
      </w:r>
      <w:r w:rsidR="006027FA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ing</w:t>
      </w:r>
      <w:r w:rsidR="0088325E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instead. Such actions</w:t>
      </w:r>
      <w:r w:rsidR="00B57F55" w:rsidRPr="002048C3">
        <w:rPr>
          <w:rFonts w:asciiTheme="majorHAnsi" w:eastAsia="Times New Roman" w:hAnsiTheme="majorHAnsi" w:cstheme="majorHAnsi"/>
          <w:color w:val="1B1B1B"/>
          <w:lang w:eastAsia="en-GB"/>
        </w:rPr>
        <w:t xml:space="preserve"> 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negat</w:t>
      </w:r>
      <w:r w:rsidR="00FE1B15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e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the purpose of a cap-and-invest program if funds are </w:t>
      </w:r>
      <w:r w:rsidR="00A42FB3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only used to maintain the status quo </w:t>
      </w:r>
      <w:r w:rsidR="006003E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instead of being invested in projects that</w:t>
      </w:r>
      <w:r w:rsidR="00964F6D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575593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accelerate</w:t>
      </w:r>
      <w:r w:rsidR="00951013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clean transport </w:t>
      </w:r>
      <w:r w:rsidR="00964F6D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adoption.</w:t>
      </w:r>
      <w:r w:rsidR="004E2DBF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</w:t>
      </w:r>
    </w:p>
    <w:p w14:paraId="734EBAE7" w14:textId="17836347" w:rsidR="00591FF9" w:rsidRPr="002048C3" w:rsidRDefault="00591FF9" w:rsidP="0037329F">
      <w:pPr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</w:pPr>
    </w:p>
    <w:p w14:paraId="31D35073" w14:textId="63DC2E97" w:rsidR="0014040B" w:rsidRPr="00535C5A" w:rsidRDefault="006003EF" w:rsidP="00535C5A">
      <w:pPr>
        <w:rPr>
          <w:rFonts w:ascii="Times New Roman" w:eastAsia="Times New Roman" w:hAnsi="Times New Roman" w:cs="Times New Roman"/>
          <w:lang w:eastAsia="en-GB"/>
        </w:rPr>
      </w:pPr>
      <w:r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Further, in order to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defend</w:t>
      </w:r>
      <w:r w:rsidR="00FE1B15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the TCI </w:t>
      </w:r>
      <w:r w:rsidR="00FE1B15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against potential legal challenges a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rguing that</w:t>
      </w:r>
      <w:r w:rsidR="00FE1B15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the TCI 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program </w:t>
      </w:r>
      <w:r w:rsidR="006027FA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is in effect 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 </w:t>
      </w:r>
      <w:r w:rsidR="00FE1B15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gasoline tax, 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the </w:t>
      </w:r>
      <w:r w:rsidR="009F361B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M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odel </w:t>
      </w:r>
      <w:r w:rsidR="009F361B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R</w:t>
      </w:r>
      <w:r w:rsidR="007D6B81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ule should ensure that TCI funds </w:t>
      </w:r>
      <w:r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do</w:t>
      </w:r>
      <w:r w:rsidR="009F361B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not act as</w:t>
      </w:r>
      <w:r w:rsidR="00481088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an indirect</w:t>
      </w:r>
      <w:r w:rsidR="00481088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14040B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gas-based </w:t>
      </w:r>
      <w:r w:rsidR="00481088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transportation user fee. </w:t>
      </w:r>
      <w:r w:rsidR="00535C5A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The </w:t>
      </w:r>
      <w:r w:rsidR="00535C5A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California Global Warming Solutions Act of 2006, </w:t>
      </w:r>
      <w:r w:rsidR="00535C5A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 </w:t>
      </w:r>
      <w:r w:rsidR="00535C5A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cap and trade program similar to TCI</w:t>
      </w:r>
      <w:r w:rsidR="00535C5A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was challenged in the court case </w:t>
      </w:r>
      <w:r w:rsidR="00535C5A" w:rsidRPr="00535C5A">
        <w:rPr>
          <w:rFonts w:asciiTheme="majorHAnsi" w:hAnsiTheme="majorHAnsi" w:cstheme="majorHAnsi"/>
          <w:i/>
          <w:iCs/>
          <w:color w:val="000000" w:themeColor="text1"/>
        </w:rPr>
        <w:t xml:space="preserve">California Chamber of Commerce et </w:t>
      </w:r>
      <w:proofErr w:type="spellStart"/>
      <w:r w:rsidR="00535C5A" w:rsidRPr="00535C5A">
        <w:rPr>
          <w:rFonts w:asciiTheme="majorHAnsi" w:hAnsiTheme="majorHAnsi" w:cstheme="majorHAnsi"/>
          <w:i/>
          <w:iCs/>
          <w:color w:val="000000" w:themeColor="text1"/>
        </w:rPr>
        <w:t>al.,v</w:t>
      </w:r>
      <w:proofErr w:type="spellEnd"/>
      <w:r w:rsidR="00535C5A" w:rsidRPr="00535C5A">
        <w:rPr>
          <w:rFonts w:asciiTheme="majorHAnsi" w:hAnsiTheme="majorHAnsi" w:cstheme="majorHAnsi"/>
          <w:i/>
          <w:iCs/>
          <w:color w:val="000000" w:themeColor="text1"/>
        </w:rPr>
        <w:t xml:space="preserve">. State Air Resources Board et al., </w:t>
      </w:r>
      <w:r w:rsidR="00535C5A" w:rsidRPr="00535C5A">
        <w:rPr>
          <w:rFonts w:asciiTheme="majorHAnsi" w:hAnsiTheme="majorHAnsi" w:cstheme="majorHAnsi"/>
          <w:color w:val="000000" w:themeColor="text1"/>
        </w:rPr>
        <w:t xml:space="preserve">C075930  </w:t>
      </w:r>
      <w:r w:rsidR="00535C5A" w:rsidRPr="00535C5A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>Cal. Ct. App. 3d. Dist., (2017)</w:t>
      </w:r>
      <w:r w:rsidR="00535C5A" w:rsidRPr="00535C5A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 xml:space="preserve">, where the court described </w:t>
      </w:r>
      <w:r w:rsidR="00874E79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 gas tax </w:t>
      </w:r>
      <w:r w:rsidR="00221F40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>as</w:t>
      </w:r>
      <w:r w:rsidR="00874E79" w:rsidRPr="00535C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a user fee </w:t>
      </w:r>
      <w:r w:rsidR="007D6B81" w:rsidRPr="00535C5A">
        <w:rPr>
          <w:rFonts w:asciiTheme="majorHAnsi" w:hAnsiTheme="majorHAnsi" w:cstheme="majorHAnsi"/>
          <w:color w:val="000000" w:themeColor="text1"/>
        </w:rPr>
        <w:t xml:space="preserve">designed </w:t>
      </w:r>
      <w:r w:rsidR="009F361B" w:rsidRPr="00535C5A">
        <w:rPr>
          <w:rFonts w:asciiTheme="majorHAnsi" w:hAnsiTheme="majorHAnsi" w:cstheme="majorHAnsi"/>
          <w:color w:val="000000" w:themeColor="text1"/>
        </w:rPr>
        <w:t xml:space="preserve">for </w:t>
      </w:r>
      <w:r w:rsidR="007D6B81" w:rsidRPr="00535C5A">
        <w:rPr>
          <w:rFonts w:asciiTheme="majorHAnsi" w:hAnsiTheme="majorHAnsi" w:cstheme="majorHAnsi"/>
          <w:color w:val="000000" w:themeColor="text1"/>
        </w:rPr>
        <w:t xml:space="preserve">transportation system </w:t>
      </w:r>
      <w:r w:rsidR="00874E79" w:rsidRPr="00535C5A">
        <w:rPr>
          <w:rFonts w:asciiTheme="majorHAnsi" w:hAnsiTheme="majorHAnsi" w:cstheme="majorHAnsi"/>
          <w:color w:val="000000" w:themeColor="text1"/>
        </w:rPr>
        <w:t xml:space="preserve">users </w:t>
      </w:r>
      <w:r w:rsidR="007D6B81" w:rsidRPr="00535C5A">
        <w:rPr>
          <w:rFonts w:asciiTheme="majorHAnsi" w:hAnsiTheme="majorHAnsi" w:cstheme="majorHAnsi"/>
          <w:color w:val="000000" w:themeColor="text1"/>
        </w:rPr>
        <w:t>to pay for maintaining and improving the system</w:t>
      </w:r>
      <w:r w:rsidR="00481088" w:rsidRPr="00535C5A">
        <w:rPr>
          <w:rFonts w:asciiTheme="majorHAnsi" w:hAnsiTheme="majorHAnsi" w:cstheme="majorHAnsi"/>
          <w:color w:val="000000" w:themeColor="text1"/>
        </w:rPr>
        <w:t xml:space="preserve">, </w:t>
      </w:r>
      <w:r w:rsidR="006027FA" w:rsidRPr="00535C5A">
        <w:rPr>
          <w:rFonts w:asciiTheme="majorHAnsi" w:hAnsiTheme="majorHAnsi" w:cstheme="majorHAnsi"/>
          <w:color w:val="000000" w:themeColor="text1"/>
        </w:rPr>
        <w:t>and that such a tax</w:t>
      </w:r>
      <w:r w:rsidR="00481088" w:rsidRPr="00535C5A">
        <w:rPr>
          <w:rFonts w:asciiTheme="majorHAnsi" w:hAnsiTheme="majorHAnsi" w:cstheme="majorHAnsi"/>
          <w:color w:val="000000" w:themeColor="text1"/>
        </w:rPr>
        <w:t xml:space="preserve"> </w:t>
      </w:r>
      <w:r w:rsidR="0014040B" w:rsidRPr="00535C5A">
        <w:rPr>
          <w:rFonts w:asciiTheme="majorHAnsi" w:hAnsiTheme="majorHAnsi" w:cstheme="majorHAnsi"/>
          <w:color w:val="000000" w:themeColor="text1"/>
        </w:rPr>
        <w:t>cemented</w:t>
      </w:r>
      <w:r w:rsidR="00481088" w:rsidRPr="00535C5A">
        <w:rPr>
          <w:rFonts w:asciiTheme="majorHAnsi" w:hAnsiTheme="majorHAnsi" w:cstheme="majorHAnsi"/>
          <w:color w:val="000000" w:themeColor="text1"/>
        </w:rPr>
        <w:t xml:space="preserve"> the status quo and increase</w:t>
      </w:r>
      <w:r w:rsidR="0014040B" w:rsidRPr="00535C5A">
        <w:rPr>
          <w:rFonts w:asciiTheme="majorHAnsi" w:hAnsiTheme="majorHAnsi" w:cstheme="majorHAnsi"/>
          <w:color w:val="000000" w:themeColor="text1"/>
        </w:rPr>
        <w:t>d</w:t>
      </w:r>
      <w:r w:rsidR="00481088" w:rsidRPr="00535C5A">
        <w:rPr>
          <w:rFonts w:asciiTheme="majorHAnsi" w:hAnsiTheme="majorHAnsi" w:cstheme="majorHAnsi"/>
          <w:color w:val="000000" w:themeColor="text1"/>
        </w:rPr>
        <w:t xml:space="preserve"> gas usage. </w:t>
      </w:r>
      <w:r w:rsidR="00535C5A" w:rsidRPr="00535C5A">
        <w:rPr>
          <w:rFonts w:asciiTheme="majorHAnsi" w:hAnsiTheme="majorHAnsi" w:cstheme="majorHAnsi"/>
          <w:color w:val="000000" w:themeColor="text1"/>
        </w:rPr>
        <w:t>The</w:t>
      </w:r>
      <w:r w:rsidR="0014040B" w:rsidRPr="00535C5A">
        <w:rPr>
          <w:rFonts w:asciiTheme="majorHAnsi" w:hAnsiTheme="majorHAnsi" w:cstheme="majorHAnsi"/>
          <w:color w:val="000000" w:themeColor="text1"/>
        </w:rPr>
        <w:t xml:space="preserve"> court </w:t>
      </w:r>
      <w:r w:rsidR="0014040B" w:rsidRPr="00535C5A">
        <w:rPr>
          <w:rFonts w:asciiTheme="majorHAnsi" w:hAnsiTheme="majorHAnsi" w:cstheme="majorHAnsi"/>
          <w:color w:val="000000" w:themeColor="text1"/>
        </w:rPr>
        <w:t>found investments from California’s program in clean transportation system</w:t>
      </w:r>
      <w:r w:rsidR="009F361B" w:rsidRPr="00535C5A">
        <w:rPr>
          <w:rFonts w:asciiTheme="majorHAnsi" w:hAnsiTheme="majorHAnsi" w:cstheme="majorHAnsi"/>
          <w:color w:val="000000" w:themeColor="text1"/>
        </w:rPr>
        <w:t xml:space="preserve">s </w:t>
      </w:r>
      <w:r w:rsidR="0014040B" w:rsidRPr="002048C3">
        <w:rPr>
          <w:rFonts w:asciiTheme="majorHAnsi" w:hAnsiTheme="majorHAnsi" w:cstheme="majorHAnsi"/>
          <w:color w:val="000000" w:themeColor="text1"/>
        </w:rPr>
        <w:t xml:space="preserve">promoted a move away from petroleum-based transport and hence did not constitute a gas tax. </w:t>
      </w:r>
      <w:r w:rsidR="009F361B" w:rsidRPr="002048C3">
        <w:rPr>
          <w:rFonts w:asciiTheme="majorHAnsi" w:hAnsiTheme="majorHAnsi" w:cstheme="majorHAnsi"/>
          <w:color w:val="000000" w:themeColor="text1"/>
        </w:rPr>
        <w:t xml:space="preserve">I recommend Model Rule revisions that </w:t>
      </w:r>
      <w:r w:rsidR="0028224A" w:rsidRPr="002048C3">
        <w:rPr>
          <w:rFonts w:asciiTheme="majorHAnsi" w:hAnsiTheme="majorHAnsi" w:cstheme="majorHAnsi"/>
          <w:color w:val="000000" w:themeColor="text1"/>
        </w:rPr>
        <w:t xml:space="preserve">require </w:t>
      </w:r>
      <w:r w:rsidRPr="002048C3">
        <w:rPr>
          <w:rFonts w:asciiTheme="majorHAnsi" w:hAnsiTheme="majorHAnsi" w:cstheme="majorHAnsi"/>
          <w:color w:val="000000" w:themeColor="text1"/>
        </w:rPr>
        <w:t>funds to</w:t>
      </w:r>
      <w:r w:rsidR="0014040B" w:rsidRPr="002048C3">
        <w:rPr>
          <w:rFonts w:asciiTheme="majorHAnsi" w:hAnsiTheme="majorHAnsi" w:cstheme="majorHAnsi"/>
          <w:color w:val="000000" w:themeColor="text1"/>
        </w:rPr>
        <w:t xml:space="preserve"> </w:t>
      </w:r>
      <w:r w:rsidR="0028224A" w:rsidRPr="002048C3">
        <w:rPr>
          <w:rFonts w:asciiTheme="majorHAnsi" w:hAnsiTheme="majorHAnsi" w:cstheme="majorHAnsi"/>
          <w:color w:val="000000" w:themeColor="text1"/>
        </w:rPr>
        <w:t xml:space="preserve">be </w:t>
      </w:r>
      <w:r w:rsidR="0014040B" w:rsidRPr="002048C3">
        <w:rPr>
          <w:rFonts w:asciiTheme="majorHAnsi" w:hAnsiTheme="majorHAnsi" w:cstheme="majorHAnsi"/>
          <w:color w:val="000000" w:themeColor="text1"/>
        </w:rPr>
        <w:t xml:space="preserve">spent on transitioning to a low-carbon transportation </w:t>
      </w:r>
      <w:r w:rsidR="0028224A" w:rsidRPr="002048C3">
        <w:rPr>
          <w:rFonts w:asciiTheme="majorHAnsi" w:hAnsiTheme="majorHAnsi" w:cstheme="majorHAnsi"/>
          <w:color w:val="000000" w:themeColor="text1"/>
        </w:rPr>
        <w:t>sector rather than maintaining the existing gas-dominated transport systems</w:t>
      </w:r>
      <w:r w:rsidRPr="002048C3">
        <w:rPr>
          <w:rFonts w:asciiTheme="majorHAnsi" w:hAnsiTheme="majorHAnsi" w:cstheme="majorHAnsi"/>
          <w:color w:val="000000" w:themeColor="text1"/>
        </w:rPr>
        <w:t xml:space="preserve">, in order </w:t>
      </w:r>
      <w:r w:rsidR="009F361B" w:rsidRPr="002048C3">
        <w:rPr>
          <w:rFonts w:asciiTheme="majorHAnsi" w:hAnsiTheme="majorHAnsi" w:cstheme="majorHAnsi"/>
          <w:color w:val="000000" w:themeColor="text1"/>
        </w:rPr>
        <w:t xml:space="preserve">for TCI to avoid being </w:t>
      </w:r>
      <w:r w:rsidR="0028224A" w:rsidRPr="002048C3">
        <w:rPr>
          <w:rFonts w:asciiTheme="majorHAnsi" w:hAnsiTheme="majorHAnsi" w:cstheme="majorHAnsi"/>
          <w:color w:val="000000" w:themeColor="text1"/>
        </w:rPr>
        <w:t xml:space="preserve">classified as a gas tax.  </w:t>
      </w:r>
    </w:p>
    <w:p w14:paraId="3AC88B7D" w14:textId="77777777" w:rsidR="0014040B" w:rsidRPr="002048C3" w:rsidRDefault="0014040B" w:rsidP="003732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1F256161" w14:textId="10F45410" w:rsidR="004E2DBF" w:rsidRPr="002048C3" w:rsidRDefault="00783380" w:rsidP="0037329F">
      <w:pPr>
        <w:rPr>
          <w:rFonts w:asciiTheme="majorHAnsi" w:eastAsia="Times New Roman" w:hAnsiTheme="majorHAnsi" w:cstheme="majorHAnsi"/>
          <w:lang w:eastAsia="en-GB"/>
        </w:rPr>
      </w:pPr>
      <w:r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Lastly, </w:t>
      </w:r>
      <w:r w:rsidR="009F361B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given</w:t>
      </w:r>
      <w:r w:rsidR="00B61D7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that the</w:t>
      </w:r>
      <w:r w:rsidR="009F361B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transportation sector accounts for such a significant portion of total emissions in signatory states, </w:t>
      </w:r>
      <w:r w:rsidR="00E85E61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the clean energy transition will only be possible if the </w:t>
      </w:r>
      <w:r w:rsidR="00D73A97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M</w:t>
      </w:r>
      <w:r w:rsidR="00E85E61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odel </w:t>
      </w:r>
      <w:r w:rsidR="00D73A97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R</w:t>
      </w:r>
      <w:r w:rsidR="00E85E61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ule </w:t>
      </w:r>
      <w:r w:rsidR="00C37941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>is</w:t>
      </w:r>
      <w:r w:rsidR="00E85E61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 amended to encourage a commitment from signatory states to maintain existing transportation budget levels while </w:t>
      </w:r>
      <w:r w:rsidR="00E85E61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allocating </w:t>
      </w:r>
      <w:r w:rsidR="009F361B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the additional </w:t>
      </w:r>
      <w:r w:rsidR="00E85E61" w:rsidRPr="002048C3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  <w:t xml:space="preserve">TCI funds to accelerate the transition. </w:t>
      </w:r>
    </w:p>
    <w:p w14:paraId="3D7BC8A7" w14:textId="2D604DD5" w:rsidR="00B632B1" w:rsidRPr="002048C3" w:rsidRDefault="00B632B1" w:rsidP="0037329F">
      <w:pPr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/>
        </w:rPr>
      </w:pPr>
    </w:p>
    <w:p w14:paraId="1BB8D872" w14:textId="2847A219" w:rsidR="000C7F60" w:rsidRPr="002048C3" w:rsidRDefault="000C7F60" w:rsidP="0037329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en-GB"/>
        </w:rPr>
      </w:pPr>
      <w:r w:rsidRPr="002048C3">
        <w:rPr>
          <w:rFonts w:asciiTheme="majorHAnsi" w:hAnsiTheme="majorHAnsi" w:cstheme="majorHAnsi"/>
          <w:b/>
          <w:bCs/>
          <w:lang w:val="en-GB"/>
        </w:rPr>
        <w:t>II. Establish a</w:t>
      </w:r>
      <w:r w:rsidR="0065596A" w:rsidRPr="002048C3">
        <w:rPr>
          <w:rFonts w:asciiTheme="majorHAnsi" w:hAnsiTheme="majorHAnsi" w:cstheme="majorHAnsi"/>
          <w:b/>
          <w:bCs/>
          <w:lang w:val="en-GB"/>
        </w:rPr>
        <w:t xml:space="preserve"> framework </w:t>
      </w:r>
      <w:r w:rsidR="003E1851" w:rsidRPr="002048C3">
        <w:rPr>
          <w:rFonts w:asciiTheme="majorHAnsi" w:hAnsiTheme="majorHAnsi" w:cstheme="majorHAnsi"/>
          <w:b/>
          <w:bCs/>
          <w:lang w:val="en-GB"/>
        </w:rPr>
        <w:t>for</w:t>
      </w:r>
      <w:r w:rsidR="0065596A" w:rsidRPr="002048C3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2048C3">
        <w:rPr>
          <w:rFonts w:asciiTheme="majorHAnsi" w:hAnsiTheme="majorHAnsi" w:cstheme="majorHAnsi"/>
          <w:b/>
          <w:bCs/>
          <w:lang w:val="en-GB"/>
        </w:rPr>
        <w:t>determin</w:t>
      </w:r>
      <w:r w:rsidR="003E1851" w:rsidRPr="002048C3">
        <w:rPr>
          <w:rFonts w:asciiTheme="majorHAnsi" w:hAnsiTheme="majorHAnsi" w:cstheme="majorHAnsi"/>
          <w:b/>
          <w:bCs/>
          <w:lang w:val="en-GB"/>
        </w:rPr>
        <w:t xml:space="preserve">ing </w:t>
      </w:r>
      <w:r w:rsidR="007E329F" w:rsidRPr="002048C3">
        <w:rPr>
          <w:rFonts w:asciiTheme="majorHAnsi" w:hAnsiTheme="majorHAnsi" w:cstheme="majorHAnsi"/>
          <w:b/>
          <w:bCs/>
          <w:lang w:val="en-GB"/>
        </w:rPr>
        <w:t xml:space="preserve">which </w:t>
      </w:r>
      <w:r w:rsidRPr="002048C3">
        <w:rPr>
          <w:rFonts w:asciiTheme="majorHAnsi" w:hAnsiTheme="majorHAnsi" w:cstheme="majorHAnsi"/>
          <w:b/>
          <w:bCs/>
          <w:lang w:val="en-GB"/>
        </w:rPr>
        <w:t xml:space="preserve">investments would best achieve the TCI’s purpose as defined in XX-1.1 of the </w:t>
      </w:r>
      <w:r w:rsidR="003E1851" w:rsidRPr="002048C3">
        <w:rPr>
          <w:rFonts w:asciiTheme="majorHAnsi" w:hAnsiTheme="majorHAnsi" w:cstheme="majorHAnsi"/>
          <w:b/>
          <w:bCs/>
          <w:lang w:val="en-GB"/>
        </w:rPr>
        <w:t>M</w:t>
      </w:r>
      <w:r w:rsidRPr="002048C3">
        <w:rPr>
          <w:rFonts w:asciiTheme="majorHAnsi" w:hAnsiTheme="majorHAnsi" w:cstheme="majorHAnsi"/>
          <w:b/>
          <w:bCs/>
          <w:lang w:val="en-GB"/>
        </w:rPr>
        <w:t xml:space="preserve">odel </w:t>
      </w:r>
      <w:r w:rsidR="003E1851" w:rsidRPr="002048C3">
        <w:rPr>
          <w:rFonts w:asciiTheme="majorHAnsi" w:hAnsiTheme="majorHAnsi" w:cstheme="majorHAnsi"/>
          <w:b/>
          <w:bCs/>
          <w:lang w:val="en-GB"/>
        </w:rPr>
        <w:t>R</w:t>
      </w:r>
      <w:r w:rsidRPr="002048C3">
        <w:rPr>
          <w:rFonts w:asciiTheme="majorHAnsi" w:hAnsiTheme="majorHAnsi" w:cstheme="majorHAnsi"/>
          <w:b/>
          <w:bCs/>
          <w:lang w:val="en-GB"/>
        </w:rPr>
        <w:t>ule.</w:t>
      </w:r>
    </w:p>
    <w:p w14:paraId="1D54574C" w14:textId="77777777" w:rsidR="000C7F60" w:rsidRPr="002048C3" w:rsidRDefault="000C7F60" w:rsidP="0037329F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</w:p>
    <w:p w14:paraId="3B3D8133" w14:textId="0849B14C" w:rsidR="000C7F60" w:rsidRPr="002048C3" w:rsidRDefault="00520495" w:rsidP="0037329F">
      <w:pPr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  <w:lang w:val="en-GB"/>
        </w:rPr>
        <w:t xml:space="preserve">The </w:t>
      </w:r>
      <w:r w:rsidRPr="002048C3">
        <w:rPr>
          <w:rFonts w:asciiTheme="majorHAnsi" w:hAnsiTheme="majorHAnsi" w:cstheme="majorHAnsi"/>
          <w:lang w:val="en-GB"/>
        </w:rPr>
        <w:t xml:space="preserve">Model Rule currently lacks assessment measures determining which investment projects would be </w:t>
      </w:r>
      <w:r w:rsidR="003E1851" w:rsidRPr="002048C3">
        <w:rPr>
          <w:rFonts w:asciiTheme="majorHAnsi" w:hAnsiTheme="majorHAnsi" w:cstheme="majorHAnsi"/>
          <w:lang w:val="en-GB"/>
        </w:rPr>
        <w:t xml:space="preserve">cost-effective and </w:t>
      </w:r>
      <w:r w:rsidRPr="002048C3">
        <w:rPr>
          <w:rFonts w:asciiTheme="majorHAnsi" w:hAnsiTheme="majorHAnsi" w:cstheme="majorHAnsi"/>
          <w:lang w:val="en-GB"/>
        </w:rPr>
        <w:t xml:space="preserve">impactful for advancing the TCI purposes. Only </w:t>
      </w:r>
      <w:r w:rsidR="0065596A" w:rsidRPr="002048C3">
        <w:rPr>
          <w:rFonts w:asciiTheme="majorHAnsi" w:hAnsiTheme="majorHAnsi" w:cstheme="majorHAnsi"/>
          <w:lang w:val="en-GB"/>
        </w:rPr>
        <w:t xml:space="preserve">Subpart </w:t>
      </w:r>
      <w:r w:rsidR="007E329F" w:rsidRPr="002048C3">
        <w:rPr>
          <w:rFonts w:asciiTheme="majorHAnsi" w:hAnsiTheme="majorHAnsi" w:cstheme="majorHAnsi"/>
          <w:lang w:val="en-GB"/>
        </w:rPr>
        <w:t xml:space="preserve">XX-3.2 </w:t>
      </w:r>
      <w:r w:rsidR="0065596A" w:rsidRPr="002048C3">
        <w:rPr>
          <w:rFonts w:asciiTheme="majorHAnsi" w:hAnsiTheme="majorHAnsi" w:cstheme="majorHAnsi"/>
          <w:lang w:val="en-GB"/>
        </w:rPr>
        <w:t xml:space="preserve">of the </w:t>
      </w:r>
      <w:r w:rsidR="00D73A97">
        <w:rPr>
          <w:rFonts w:asciiTheme="majorHAnsi" w:hAnsiTheme="majorHAnsi" w:cstheme="majorHAnsi"/>
          <w:lang w:val="en-GB"/>
        </w:rPr>
        <w:t>M</w:t>
      </w:r>
      <w:r w:rsidR="0065596A" w:rsidRPr="002048C3">
        <w:rPr>
          <w:rFonts w:asciiTheme="majorHAnsi" w:hAnsiTheme="majorHAnsi" w:cstheme="majorHAnsi"/>
          <w:lang w:val="en-GB"/>
        </w:rPr>
        <w:t xml:space="preserve">odel </w:t>
      </w:r>
      <w:r w:rsidR="00D73A97">
        <w:rPr>
          <w:rFonts w:asciiTheme="majorHAnsi" w:hAnsiTheme="majorHAnsi" w:cstheme="majorHAnsi"/>
          <w:lang w:val="en-GB"/>
        </w:rPr>
        <w:t>R</w:t>
      </w:r>
      <w:r w:rsidR="0065596A" w:rsidRPr="002048C3">
        <w:rPr>
          <w:rFonts w:asciiTheme="majorHAnsi" w:hAnsiTheme="majorHAnsi" w:cstheme="majorHAnsi"/>
          <w:lang w:val="en-GB"/>
        </w:rPr>
        <w:t xml:space="preserve">ule </w:t>
      </w:r>
      <w:r w:rsidR="009F361B" w:rsidRPr="002048C3">
        <w:rPr>
          <w:rFonts w:asciiTheme="majorHAnsi" w:hAnsiTheme="majorHAnsi" w:cstheme="majorHAnsi"/>
          <w:lang w:val="en-GB"/>
        </w:rPr>
        <w:t xml:space="preserve">provides </w:t>
      </w:r>
      <w:r w:rsidRPr="002048C3">
        <w:rPr>
          <w:rFonts w:asciiTheme="majorHAnsi" w:hAnsiTheme="majorHAnsi" w:cstheme="majorHAnsi"/>
          <w:lang w:val="en-GB"/>
        </w:rPr>
        <w:t>a</w:t>
      </w:r>
      <w:r w:rsidR="009F361B" w:rsidRPr="002048C3">
        <w:rPr>
          <w:rFonts w:asciiTheme="majorHAnsi" w:hAnsiTheme="majorHAnsi" w:cstheme="majorHAnsi"/>
          <w:lang w:val="en-GB"/>
        </w:rPr>
        <w:t xml:space="preserve"> framework for determining</w:t>
      </w:r>
      <w:r w:rsidR="007E329F" w:rsidRPr="002048C3">
        <w:rPr>
          <w:rFonts w:asciiTheme="majorHAnsi" w:hAnsiTheme="majorHAnsi" w:cstheme="majorHAnsi"/>
          <w:lang w:val="en-GB"/>
        </w:rPr>
        <w:t xml:space="preserve"> and evaluat</w:t>
      </w:r>
      <w:r w:rsidR="009F361B" w:rsidRPr="002048C3">
        <w:rPr>
          <w:rFonts w:asciiTheme="majorHAnsi" w:hAnsiTheme="majorHAnsi" w:cstheme="majorHAnsi"/>
          <w:lang w:val="en-GB"/>
        </w:rPr>
        <w:t>ing</w:t>
      </w:r>
      <w:r w:rsidR="007E329F" w:rsidRPr="002048C3">
        <w:rPr>
          <w:rFonts w:asciiTheme="majorHAnsi" w:hAnsiTheme="majorHAnsi" w:cstheme="majorHAnsi"/>
          <w:lang w:val="en-GB"/>
        </w:rPr>
        <w:t xml:space="preserve"> how </w:t>
      </w:r>
      <w:r w:rsidR="0065596A" w:rsidRPr="002048C3">
        <w:rPr>
          <w:rFonts w:asciiTheme="majorHAnsi" w:hAnsiTheme="majorHAnsi" w:cstheme="majorHAnsi"/>
          <w:lang w:val="en-GB"/>
        </w:rPr>
        <w:t>35% of investments are to be spent to advance equity</w:t>
      </w:r>
      <w:r w:rsidRPr="002048C3">
        <w:rPr>
          <w:rFonts w:asciiTheme="majorHAnsi" w:hAnsiTheme="majorHAnsi" w:cstheme="majorHAnsi"/>
          <w:lang w:val="en-GB"/>
        </w:rPr>
        <w:t xml:space="preserve"> to fulfil</w:t>
      </w:r>
      <w:r w:rsidR="009F361B" w:rsidRPr="002048C3">
        <w:rPr>
          <w:rFonts w:asciiTheme="majorHAnsi" w:hAnsiTheme="majorHAnsi" w:cstheme="majorHAnsi"/>
          <w:lang w:val="en-GB"/>
        </w:rPr>
        <w:t xml:space="preserve"> </w:t>
      </w:r>
      <w:r w:rsidR="00DD36F6">
        <w:rPr>
          <w:rFonts w:asciiTheme="majorHAnsi" w:hAnsiTheme="majorHAnsi" w:cstheme="majorHAnsi"/>
          <w:lang w:val="en-GB"/>
        </w:rPr>
        <w:t xml:space="preserve">the </w:t>
      </w:r>
      <w:r w:rsidR="009F361B" w:rsidRPr="002048C3">
        <w:rPr>
          <w:rFonts w:asciiTheme="majorHAnsi" w:hAnsiTheme="majorHAnsi" w:cstheme="majorHAnsi"/>
          <w:lang w:val="en-GB"/>
        </w:rPr>
        <w:t>TCI purpose</w:t>
      </w:r>
      <w:r w:rsidR="00DD36F6">
        <w:rPr>
          <w:rFonts w:asciiTheme="majorHAnsi" w:hAnsiTheme="majorHAnsi" w:cstheme="majorHAnsi"/>
          <w:lang w:val="en-GB"/>
        </w:rPr>
        <w:t>s outlined</w:t>
      </w:r>
      <w:r w:rsidR="009F361B" w:rsidRPr="002048C3">
        <w:rPr>
          <w:rFonts w:asciiTheme="majorHAnsi" w:hAnsiTheme="majorHAnsi" w:cstheme="majorHAnsi"/>
          <w:lang w:val="en-GB"/>
        </w:rPr>
        <w:t xml:space="preserve"> XX-1.1 (e). This section </w:t>
      </w:r>
      <w:r w:rsidR="0065596A" w:rsidRPr="002048C3">
        <w:rPr>
          <w:rFonts w:asciiTheme="majorHAnsi" w:hAnsiTheme="majorHAnsi" w:cstheme="majorHAnsi"/>
          <w:lang w:val="en-GB"/>
        </w:rPr>
        <w:t xml:space="preserve">should be expanded to similarly determine how the </w:t>
      </w:r>
      <w:r w:rsidR="007E329F" w:rsidRPr="002048C3">
        <w:rPr>
          <w:rFonts w:asciiTheme="majorHAnsi" w:hAnsiTheme="majorHAnsi" w:cstheme="majorHAnsi"/>
          <w:lang w:val="en-GB"/>
        </w:rPr>
        <w:t>remaining 65% of investments</w:t>
      </w:r>
      <w:r w:rsidR="0065596A" w:rsidRPr="002048C3">
        <w:rPr>
          <w:rFonts w:asciiTheme="majorHAnsi" w:hAnsiTheme="majorHAnsi" w:cstheme="majorHAnsi"/>
          <w:lang w:val="en-GB"/>
        </w:rPr>
        <w:t xml:space="preserve"> should be spent to</w:t>
      </w:r>
      <w:r w:rsidR="009F361B" w:rsidRPr="002048C3">
        <w:rPr>
          <w:rFonts w:asciiTheme="majorHAnsi" w:hAnsiTheme="majorHAnsi" w:cstheme="majorHAnsi"/>
          <w:lang w:val="en-GB"/>
        </w:rPr>
        <w:t xml:space="preserve"> </w:t>
      </w:r>
      <w:r w:rsidRPr="002048C3">
        <w:rPr>
          <w:rFonts w:asciiTheme="majorHAnsi" w:hAnsiTheme="majorHAnsi" w:cstheme="majorHAnsi"/>
          <w:lang w:val="en-GB"/>
        </w:rPr>
        <w:t xml:space="preserve">best </w:t>
      </w:r>
      <w:r w:rsidR="0065596A" w:rsidRPr="002048C3">
        <w:rPr>
          <w:rFonts w:asciiTheme="majorHAnsi" w:hAnsiTheme="majorHAnsi" w:cstheme="majorHAnsi"/>
          <w:lang w:val="en-GB"/>
        </w:rPr>
        <w:t xml:space="preserve">advance TCI purposes XX-1.1 (a - </w:t>
      </w:r>
      <w:r w:rsidR="009F361B" w:rsidRPr="002048C3">
        <w:rPr>
          <w:rFonts w:asciiTheme="majorHAnsi" w:hAnsiTheme="majorHAnsi" w:cstheme="majorHAnsi"/>
          <w:lang w:val="en-GB"/>
        </w:rPr>
        <w:t>d</w:t>
      </w:r>
      <w:r w:rsidR="0065596A" w:rsidRPr="002048C3">
        <w:rPr>
          <w:rFonts w:asciiTheme="majorHAnsi" w:hAnsiTheme="majorHAnsi" w:cstheme="majorHAnsi"/>
          <w:lang w:val="en-GB"/>
        </w:rPr>
        <w:t>).</w:t>
      </w:r>
      <w:r w:rsidR="008943D7" w:rsidRPr="002048C3">
        <w:rPr>
          <w:rFonts w:asciiTheme="majorHAnsi" w:hAnsiTheme="majorHAnsi" w:cstheme="majorHAnsi"/>
          <w:lang w:val="en-GB"/>
        </w:rPr>
        <w:t xml:space="preserve"> A </w:t>
      </w:r>
      <w:r w:rsidR="008943D7" w:rsidRPr="002048C3">
        <w:rPr>
          <w:rFonts w:asciiTheme="majorHAnsi" w:hAnsiTheme="majorHAnsi" w:cstheme="majorHAnsi"/>
          <w:lang w:val="en-GB"/>
        </w:rPr>
        <w:t>suggested insertion is provided below:</w:t>
      </w:r>
    </w:p>
    <w:p w14:paraId="2380DC5D" w14:textId="48C9A5E3" w:rsidR="007E329F" w:rsidRPr="002048C3" w:rsidRDefault="007E329F" w:rsidP="0037329F">
      <w:pPr>
        <w:rPr>
          <w:rFonts w:asciiTheme="majorHAnsi" w:hAnsiTheme="majorHAnsi" w:cstheme="majorHAnsi"/>
          <w:lang w:val="en-GB"/>
        </w:rPr>
      </w:pPr>
    </w:p>
    <w:p w14:paraId="11F16118" w14:textId="32D88829" w:rsidR="008A7367" w:rsidRPr="002048C3" w:rsidRDefault="008943D7" w:rsidP="0037329F">
      <w:pPr>
        <w:pStyle w:val="Heading1"/>
        <w:tabs>
          <w:tab w:val="left" w:pos="1600"/>
        </w:tabs>
        <w:spacing w:before="92"/>
        <w:rPr>
          <w:rFonts w:asciiTheme="majorHAnsi" w:hAnsiTheme="majorHAnsi" w:cstheme="majorHAnsi"/>
          <w:i/>
          <w:iCs/>
        </w:rPr>
      </w:pPr>
      <w:r w:rsidRPr="002048C3">
        <w:rPr>
          <w:rFonts w:asciiTheme="majorHAnsi" w:hAnsiTheme="majorHAnsi" w:cstheme="majorHAnsi"/>
          <w:i/>
          <w:iCs/>
        </w:rPr>
        <w:t>“</w:t>
      </w:r>
      <w:r w:rsidR="008A7367" w:rsidRPr="002048C3">
        <w:rPr>
          <w:rFonts w:asciiTheme="majorHAnsi" w:hAnsiTheme="majorHAnsi" w:cstheme="majorHAnsi"/>
          <w:i/>
          <w:iCs/>
        </w:rPr>
        <w:t>XX-__</w:t>
      </w:r>
      <w:r w:rsidR="008A7367" w:rsidRPr="002048C3">
        <w:rPr>
          <w:rFonts w:asciiTheme="majorHAnsi" w:hAnsiTheme="majorHAnsi" w:cstheme="majorHAnsi"/>
          <w:i/>
          <w:iCs/>
        </w:rPr>
        <w:tab/>
        <w:t>Investment advisory</w:t>
      </w:r>
      <w:r w:rsidR="008A7367" w:rsidRPr="002048C3">
        <w:rPr>
          <w:rFonts w:asciiTheme="majorHAnsi" w:hAnsiTheme="majorHAnsi" w:cstheme="majorHAnsi"/>
          <w:i/>
          <w:iCs/>
          <w:spacing w:val="1"/>
        </w:rPr>
        <w:t xml:space="preserve"> </w:t>
      </w:r>
      <w:r w:rsidR="008A7367" w:rsidRPr="002048C3">
        <w:rPr>
          <w:rFonts w:asciiTheme="majorHAnsi" w:hAnsiTheme="majorHAnsi" w:cstheme="majorHAnsi"/>
          <w:i/>
          <w:iCs/>
        </w:rPr>
        <w:t>body</w:t>
      </w:r>
    </w:p>
    <w:p w14:paraId="74269A46" w14:textId="77777777" w:rsidR="008A7367" w:rsidRPr="002048C3" w:rsidRDefault="008A7367" w:rsidP="0037329F">
      <w:pPr>
        <w:pStyle w:val="BodyText"/>
        <w:rPr>
          <w:rFonts w:asciiTheme="majorHAnsi" w:hAnsiTheme="majorHAnsi" w:cstheme="majorHAnsi"/>
          <w:b/>
          <w:i/>
          <w:iCs/>
        </w:rPr>
      </w:pPr>
    </w:p>
    <w:p w14:paraId="07F9775A" w14:textId="2BB1452A" w:rsidR="008A7367" w:rsidRPr="002048C3" w:rsidRDefault="008A7367" w:rsidP="0037329F">
      <w:pPr>
        <w:pStyle w:val="ListParagraph"/>
        <w:widowControl w:val="0"/>
        <w:numPr>
          <w:ilvl w:val="0"/>
          <w:numId w:val="6"/>
        </w:numPr>
        <w:tabs>
          <w:tab w:val="left" w:pos="880"/>
          <w:tab w:val="left" w:pos="881"/>
          <w:tab w:val="left" w:pos="2089"/>
        </w:tabs>
        <w:autoSpaceDE w:val="0"/>
        <w:autoSpaceDN w:val="0"/>
        <w:spacing w:before="167"/>
        <w:ind w:left="426" w:right="-52" w:hanging="426"/>
        <w:contextualSpacing w:val="0"/>
        <w:rPr>
          <w:rFonts w:asciiTheme="majorHAnsi" w:hAnsiTheme="majorHAnsi" w:cstheme="majorHAnsi"/>
          <w:i/>
          <w:iCs/>
        </w:rPr>
      </w:pPr>
      <w:r w:rsidRPr="002048C3">
        <w:rPr>
          <w:rFonts w:asciiTheme="majorHAnsi" w:hAnsiTheme="majorHAnsi" w:cstheme="majorHAnsi"/>
          <w:i/>
          <w:iCs/>
        </w:rPr>
        <w:t>By</w:t>
      </w:r>
      <w:r w:rsidRPr="002048C3">
        <w:rPr>
          <w:rFonts w:asciiTheme="majorHAnsi" w:hAnsiTheme="majorHAnsi" w:cstheme="majorHAnsi"/>
          <w:i/>
          <w:iCs/>
          <w:u w:val="single"/>
        </w:rPr>
        <w:t xml:space="preserve"> </w:t>
      </w:r>
      <w:r w:rsidRPr="002048C3">
        <w:rPr>
          <w:rFonts w:asciiTheme="majorHAnsi" w:hAnsiTheme="majorHAnsi" w:cstheme="majorHAnsi"/>
          <w:i/>
          <w:iCs/>
          <w:u w:val="single"/>
        </w:rPr>
        <w:tab/>
      </w:r>
      <w:r w:rsidRPr="002048C3">
        <w:rPr>
          <w:rFonts w:asciiTheme="majorHAnsi" w:hAnsiTheme="majorHAnsi" w:cstheme="majorHAnsi"/>
          <w:i/>
          <w:iCs/>
        </w:rPr>
        <w:t>[date], JURISDICTION shall establish an investment advisory body within a relevant state agency, such as the Department of Transport</w:t>
      </w:r>
      <w:r w:rsidR="00C37941">
        <w:rPr>
          <w:rFonts w:asciiTheme="majorHAnsi" w:hAnsiTheme="majorHAnsi" w:cstheme="majorHAnsi"/>
          <w:i/>
          <w:iCs/>
        </w:rPr>
        <w:t>,</w:t>
      </w:r>
      <w:r w:rsidRPr="002048C3">
        <w:rPr>
          <w:rFonts w:asciiTheme="majorHAnsi" w:hAnsiTheme="majorHAnsi" w:cstheme="majorHAnsi"/>
          <w:i/>
          <w:iCs/>
        </w:rPr>
        <w:t xml:space="preserve"> to advise on decision-making for TCI-P,</w:t>
      </w:r>
      <w:r w:rsidRPr="002048C3">
        <w:rPr>
          <w:rFonts w:asciiTheme="majorHAnsi" w:hAnsiTheme="majorHAnsi" w:cstheme="majorHAnsi"/>
          <w:i/>
          <w:iCs/>
          <w:spacing w:val="-3"/>
        </w:rPr>
        <w:t xml:space="preserve"> </w:t>
      </w:r>
      <w:r w:rsidRPr="002048C3">
        <w:rPr>
          <w:rFonts w:asciiTheme="majorHAnsi" w:hAnsiTheme="majorHAnsi" w:cstheme="majorHAnsi"/>
          <w:i/>
          <w:iCs/>
        </w:rPr>
        <w:t>including:</w:t>
      </w:r>
    </w:p>
    <w:p w14:paraId="54C2EA50" w14:textId="0BE0B3FC" w:rsidR="004B0F5E" w:rsidRPr="002048C3" w:rsidRDefault="008A7367" w:rsidP="0037329F">
      <w:pPr>
        <w:pStyle w:val="ListParagraph"/>
        <w:widowControl w:val="0"/>
        <w:numPr>
          <w:ilvl w:val="1"/>
          <w:numId w:val="6"/>
        </w:numPr>
        <w:tabs>
          <w:tab w:val="left" w:pos="1601"/>
        </w:tabs>
        <w:autoSpaceDE w:val="0"/>
        <w:autoSpaceDN w:val="0"/>
        <w:spacing w:before="160"/>
        <w:ind w:left="851" w:right="-52" w:hanging="425"/>
        <w:contextualSpacing w:val="0"/>
        <w:jc w:val="both"/>
        <w:rPr>
          <w:rFonts w:asciiTheme="majorHAnsi" w:hAnsiTheme="majorHAnsi" w:cstheme="majorHAnsi"/>
          <w:i/>
          <w:iCs/>
        </w:rPr>
      </w:pPr>
      <w:r w:rsidRPr="002048C3">
        <w:rPr>
          <w:rFonts w:asciiTheme="majorHAnsi" w:hAnsiTheme="majorHAnsi" w:cstheme="majorHAnsi"/>
          <w:i/>
          <w:iCs/>
        </w:rPr>
        <w:t>Developing criteria</w:t>
      </w:r>
      <w:r w:rsidR="004B0F5E" w:rsidRPr="002048C3">
        <w:rPr>
          <w:rFonts w:asciiTheme="majorHAnsi" w:hAnsiTheme="majorHAnsi" w:cstheme="majorHAnsi"/>
          <w:i/>
          <w:iCs/>
        </w:rPr>
        <w:t xml:space="preserve"> for </w:t>
      </w:r>
      <w:r w:rsidRPr="002048C3">
        <w:rPr>
          <w:rFonts w:asciiTheme="majorHAnsi" w:hAnsiTheme="majorHAnsi" w:cstheme="majorHAnsi"/>
          <w:i/>
          <w:iCs/>
        </w:rPr>
        <w:t>assessing</w:t>
      </w:r>
      <w:r w:rsidR="004B0F5E" w:rsidRPr="002048C3">
        <w:rPr>
          <w:rFonts w:asciiTheme="majorHAnsi" w:hAnsiTheme="majorHAnsi" w:cstheme="majorHAnsi"/>
          <w:i/>
          <w:iCs/>
        </w:rPr>
        <w:t xml:space="preserve"> </w:t>
      </w:r>
      <w:r w:rsidRPr="002048C3">
        <w:rPr>
          <w:rFonts w:asciiTheme="majorHAnsi" w:hAnsiTheme="majorHAnsi" w:cstheme="majorHAnsi"/>
          <w:i/>
          <w:iCs/>
        </w:rPr>
        <w:t xml:space="preserve">which investments would best meet the TCI purposes </w:t>
      </w:r>
      <w:r w:rsidRPr="002048C3">
        <w:rPr>
          <w:rFonts w:asciiTheme="majorHAnsi" w:hAnsiTheme="majorHAnsi" w:cstheme="majorHAnsi"/>
          <w:i/>
          <w:iCs/>
          <w:lang w:val="en-GB"/>
        </w:rPr>
        <w:t xml:space="preserve">XX-1.1 (a - d), as measured from </w:t>
      </w:r>
      <w:r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a</w:t>
      </w:r>
      <w:r w:rsidR="00535C5A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n economic</w:t>
      </w:r>
      <w:r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 cost-benefit perspective, including but not limited to cost per </w:t>
      </w:r>
      <w:r w:rsidR="0037329F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metric ton of carbon dioxide equivalent (</w:t>
      </w:r>
      <w:r w:rsidR="004B0F5E" w:rsidRPr="002048C3">
        <w:rPr>
          <w:rFonts w:asciiTheme="majorHAnsi" w:hAnsiTheme="majorHAnsi" w:cstheme="majorHAnsi"/>
          <w:i/>
          <w:iCs/>
          <w:position w:val="1"/>
        </w:rPr>
        <w:t>CO</w:t>
      </w:r>
      <w:r w:rsidR="004B0F5E" w:rsidRPr="002048C3">
        <w:rPr>
          <w:rFonts w:asciiTheme="majorHAnsi" w:hAnsiTheme="majorHAnsi" w:cstheme="majorHAnsi"/>
          <w:i/>
          <w:iCs/>
        </w:rPr>
        <w:t>2</w:t>
      </w:r>
      <w:proofErr w:type="spellStart"/>
      <w:r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eMT</w:t>
      </w:r>
      <w:proofErr w:type="spellEnd"/>
      <w:r w:rsidR="0037329F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)</w:t>
      </w:r>
      <w:r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 reduced.</w:t>
      </w:r>
      <w:r w:rsidR="004B0F5E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 Such assessments should be based on best available data and science, including but not necessarily limited to data and science produced or used by </w:t>
      </w:r>
      <w:r w:rsidR="00545A34" w:rsidRPr="002048C3">
        <w:rPr>
          <w:rFonts w:asciiTheme="majorHAnsi" w:hAnsiTheme="majorHAnsi" w:cstheme="majorHAnsi"/>
          <w:i/>
          <w:iCs/>
        </w:rPr>
        <w:t>JURISDICTION</w:t>
      </w:r>
      <w:r w:rsidR="00545A34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 </w:t>
      </w:r>
      <w:r w:rsidR="004B0F5E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agencies in </w:t>
      </w:r>
      <w:r w:rsidR="00545A34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transportation, </w:t>
      </w:r>
      <w:r w:rsidR="004B0F5E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environmental, energy</w:t>
      </w:r>
      <w:r w:rsidR="00545A34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, </w:t>
      </w:r>
      <w:proofErr w:type="gramStart"/>
      <w:r w:rsidR="00545A34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health</w:t>
      </w:r>
      <w:proofErr w:type="gramEnd"/>
      <w:r w:rsidR="00545A34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 </w:t>
      </w:r>
      <w:r w:rsidR="004B0F5E"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>and hazard mitigation planning.</w:t>
      </w:r>
    </w:p>
    <w:p w14:paraId="1250278D" w14:textId="4477D278" w:rsidR="008A7367" w:rsidRPr="002048C3" w:rsidRDefault="004B0F5E" w:rsidP="0037329F">
      <w:pPr>
        <w:pStyle w:val="ListParagraph"/>
        <w:widowControl w:val="0"/>
        <w:numPr>
          <w:ilvl w:val="1"/>
          <w:numId w:val="6"/>
        </w:numPr>
        <w:tabs>
          <w:tab w:val="left" w:pos="1601"/>
        </w:tabs>
        <w:autoSpaceDE w:val="0"/>
        <w:autoSpaceDN w:val="0"/>
        <w:spacing w:before="160"/>
        <w:ind w:left="851" w:right="-52" w:hanging="425"/>
        <w:contextualSpacing w:val="0"/>
        <w:jc w:val="both"/>
        <w:rPr>
          <w:rFonts w:asciiTheme="majorHAnsi" w:hAnsiTheme="majorHAnsi" w:cstheme="majorHAnsi"/>
          <w:i/>
          <w:iCs/>
        </w:rPr>
      </w:pPr>
      <w:r w:rsidRPr="002048C3">
        <w:rPr>
          <w:rFonts w:asciiTheme="majorHAnsi" w:eastAsia="Times New Roman" w:hAnsiTheme="majorHAnsi" w:cstheme="majorHAnsi"/>
          <w:i/>
          <w:iCs/>
          <w:color w:val="000000"/>
          <w:shd w:val="clear" w:color="auto" w:fill="FFFFFF"/>
          <w:lang w:val="en-US" w:eastAsia="en-GB"/>
        </w:rPr>
        <w:t xml:space="preserve">Undertaking and publicly publishing such investment assessments </w:t>
      </w:r>
      <w:r w:rsidRPr="002048C3">
        <w:rPr>
          <w:rFonts w:asciiTheme="majorHAnsi" w:hAnsiTheme="majorHAnsi" w:cstheme="majorHAnsi"/>
          <w:i/>
          <w:iCs/>
        </w:rPr>
        <w:t xml:space="preserve">at a minimum of every five </w:t>
      </w:r>
      <w:r w:rsidR="00545A34" w:rsidRPr="002048C3">
        <w:rPr>
          <w:rFonts w:asciiTheme="majorHAnsi" w:hAnsiTheme="majorHAnsi" w:cstheme="majorHAnsi"/>
          <w:i/>
          <w:iCs/>
        </w:rPr>
        <w:t>years and</w:t>
      </w:r>
      <w:r w:rsidRPr="002048C3">
        <w:rPr>
          <w:rFonts w:asciiTheme="majorHAnsi" w:hAnsiTheme="majorHAnsi" w:cstheme="majorHAnsi"/>
          <w:i/>
          <w:iCs/>
        </w:rPr>
        <w:t xml:space="preserve"> using the assessments to recommend the best investment allocations.  </w:t>
      </w:r>
    </w:p>
    <w:p w14:paraId="280A126F" w14:textId="4089A579" w:rsidR="008A7367" w:rsidRPr="002048C3" w:rsidRDefault="008A7367" w:rsidP="0037329F">
      <w:pPr>
        <w:pStyle w:val="ListParagraph"/>
        <w:widowControl w:val="0"/>
        <w:numPr>
          <w:ilvl w:val="1"/>
          <w:numId w:val="6"/>
        </w:numPr>
        <w:tabs>
          <w:tab w:val="left" w:pos="1600"/>
          <w:tab w:val="left" w:pos="1601"/>
        </w:tabs>
        <w:autoSpaceDE w:val="0"/>
        <w:autoSpaceDN w:val="0"/>
        <w:spacing w:before="160"/>
        <w:ind w:left="851" w:right="-52" w:hanging="425"/>
        <w:contextualSpacing w:val="0"/>
        <w:rPr>
          <w:rFonts w:asciiTheme="majorHAnsi" w:hAnsiTheme="majorHAnsi" w:cstheme="majorHAnsi"/>
          <w:i/>
          <w:iCs/>
        </w:rPr>
      </w:pPr>
      <w:r w:rsidRPr="002048C3">
        <w:rPr>
          <w:rFonts w:asciiTheme="majorHAnsi" w:hAnsiTheme="majorHAnsi" w:cstheme="majorHAnsi"/>
          <w:i/>
          <w:iCs/>
        </w:rPr>
        <w:t>Developing metrics for evaluating how investments of program</w:t>
      </w:r>
      <w:r w:rsidRPr="002048C3">
        <w:rPr>
          <w:rFonts w:asciiTheme="majorHAnsi" w:hAnsiTheme="majorHAnsi" w:cstheme="majorHAnsi"/>
          <w:i/>
          <w:iCs/>
          <w:spacing w:val="-30"/>
        </w:rPr>
        <w:t xml:space="preserve"> </w:t>
      </w:r>
      <w:r w:rsidRPr="002048C3">
        <w:rPr>
          <w:rFonts w:asciiTheme="majorHAnsi" w:hAnsiTheme="majorHAnsi" w:cstheme="majorHAnsi"/>
          <w:i/>
          <w:iCs/>
        </w:rPr>
        <w:t xml:space="preserve">proceeds demonstrably provide direct and meaningful benefits </w:t>
      </w:r>
      <w:r w:rsidR="003E1851" w:rsidRPr="002048C3">
        <w:rPr>
          <w:rFonts w:asciiTheme="majorHAnsi" w:hAnsiTheme="majorHAnsi" w:cstheme="majorHAnsi"/>
          <w:i/>
          <w:iCs/>
        </w:rPr>
        <w:t xml:space="preserve">to advance TCI purposes </w:t>
      </w:r>
      <w:r w:rsidR="003E1851" w:rsidRPr="002048C3">
        <w:rPr>
          <w:rFonts w:asciiTheme="majorHAnsi" w:hAnsiTheme="majorHAnsi" w:cstheme="majorHAnsi"/>
          <w:i/>
          <w:iCs/>
          <w:lang w:val="en-GB"/>
        </w:rPr>
        <w:t>XX-1.1 (a - d).</w:t>
      </w:r>
      <w:r w:rsidR="008943D7" w:rsidRPr="002048C3">
        <w:rPr>
          <w:rFonts w:asciiTheme="majorHAnsi" w:hAnsiTheme="majorHAnsi" w:cstheme="majorHAnsi"/>
          <w:i/>
          <w:iCs/>
          <w:lang w:val="en-GB"/>
        </w:rPr>
        <w:t>”</w:t>
      </w:r>
    </w:p>
    <w:p w14:paraId="6A26DCFB" w14:textId="1EC21BCF" w:rsidR="00712DAE" w:rsidRPr="002048C3" w:rsidRDefault="0037329F" w:rsidP="0037329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  <w:lang w:val="en-GB"/>
        </w:rPr>
        <w:t>***</w:t>
      </w:r>
    </w:p>
    <w:p w14:paraId="7A684AF2" w14:textId="26EF29D0" w:rsidR="00783171" w:rsidRPr="002048C3" w:rsidRDefault="00783171" w:rsidP="0037329F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2048C3">
        <w:rPr>
          <w:rFonts w:asciiTheme="majorHAnsi" w:hAnsiTheme="majorHAnsi" w:cstheme="majorHAnsi"/>
        </w:rPr>
        <w:t>In summary,</w:t>
      </w:r>
      <w:r w:rsidR="0037329F" w:rsidRPr="002048C3">
        <w:rPr>
          <w:rFonts w:asciiTheme="majorHAnsi" w:hAnsiTheme="majorHAnsi" w:cstheme="majorHAnsi"/>
        </w:rPr>
        <w:t xml:space="preserve"> the TCI Final Model Rule should be amended to provide clearer provisions </w:t>
      </w:r>
      <w:r w:rsidR="004203E4" w:rsidRPr="002048C3">
        <w:rPr>
          <w:rFonts w:asciiTheme="majorHAnsi" w:hAnsiTheme="majorHAnsi" w:cstheme="majorHAnsi"/>
        </w:rPr>
        <w:t xml:space="preserve">on </w:t>
      </w:r>
      <w:r w:rsidR="0037329F" w:rsidRPr="002048C3">
        <w:rPr>
          <w:rFonts w:asciiTheme="majorHAnsi" w:hAnsiTheme="majorHAnsi" w:cstheme="majorHAnsi"/>
        </w:rPr>
        <w:t xml:space="preserve">how TCI funds </w:t>
      </w:r>
      <w:r w:rsidR="004203E4" w:rsidRPr="002048C3">
        <w:rPr>
          <w:rFonts w:asciiTheme="majorHAnsi" w:hAnsiTheme="majorHAnsi" w:cstheme="majorHAnsi"/>
        </w:rPr>
        <w:t xml:space="preserve">raised from emission allowance </w:t>
      </w:r>
      <w:r w:rsidR="004203E4" w:rsidRPr="002048C3">
        <w:rPr>
          <w:rFonts w:asciiTheme="majorHAnsi" w:hAnsiTheme="majorHAnsi" w:cstheme="majorHAnsi"/>
        </w:rPr>
        <w:t xml:space="preserve">auctions </w:t>
      </w:r>
      <w:r w:rsidR="0037329F" w:rsidRPr="002048C3">
        <w:rPr>
          <w:rFonts w:asciiTheme="majorHAnsi" w:hAnsiTheme="majorHAnsi" w:cstheme="majorHAnsi"/>
        </w:rPr>
        <w:t xml:space="preserve">are to be invested. </w:t>
      </w:r>
      <w:r w:rsidR="004203E4" w:rsidRPr="002048C3">
        <w:rPr>
          <w:rFonts w:asciiTheme="majorHAnsi" w:hAnsiTheme="majorHAnsi" w:cstheme="majorHAnsi"/>
        </w:rPr>
        <w:t xml:space="preserve">The Final Model Rule should encourage legislative guardrails preventing TCI funds from being spent on non-TCI-related expenditures. Protections should also </w:t>
      </w:r>
      <w:r w:rsidR="00C37941">
        <w:rPr>
          <w:rFonts w:asciiTheme="majorHAnsi" w:hAnsiTheme="majorHAnsi" w:cstheme="majorHAnsi"/>
        </w:rPr>
        <w:t xml:space="preserve">be added to </w:t>
      </w:r>
      <w:r w:rsidR="004203E4" w:rsidRPr="002048C3">
        <w:rPr>
          <w:rFonts w:asciiTheme="majorHAnsi" w:hAnsiTheme="majorHAnsi" w:cstheme="majorHAnsi"/>
        </w:rPr>
        <w:t xml:space="preserve">prevent TCI funds from being used to subsidize existing transportation budgets, </w:t>
      </w:r>
      <w:r w:rsidR="00C37941">
        <w:rPr>
          <w:rFonts w:asciiTheme="majorHAnsi" w:hAnsiTheme="majorHAnsi" w:cstheme="majorHAnsi"/>
        </w:rPr>
        <w:t xml:space="preserve">and </w:t>
      </w:r>
      <w:r w:rsidR="004203E4" w:rsidRPr="002048C3">
        <w:rPr>
          <w:rFonts w:asciiTheme="majorHAnsi" w:hAnsiTheme="majorHAnsi" w:cstheme="majorHAnsi"/>
        </w:rPr>
        <w:t xml:space="preserve">to prevent the perception </w:t>
      </w:r>
      <w:r w:rsidR="00C37941">
        <w:rPr>
          <w:rFonts w:asciiTheme="majorHAnsi" w:hAnsiTheme="majorHAnsi" w:cstheme="majorHAnsi"/>
        </w:rPr>
        <w:t>that</w:t>
      </w:r>
      <w:r w:rsidR="000D4D93" w:rsidRPr="002048C3">
        <w:rPr>
          <w:rFonts w:asciiTheme="majorHAnsi" w:hAnsiTheme="majorHAnsi" w:cstheme="majorHAnsi"/>
        </w:rPr>
        <w:t xml:space="preserve"> the TCI program </w:t>
      </w:r>
      <w:r w:rsidR="00C37941">
        <w:rPr>
          <w:rFonts w:asciiTheme="majorHAnsi" w:hAnsiTheme="majorHAnsi" w:cstheme="majorHAnsi"/>
        </w:rPr>
        <w:t>is</w:t>
      </w:r>
      <w:r w:rsidR="004203E4" w:rsidRPr="002048C3">
        <w:rPr>
          <w:rFonts w:asciiTheme="majorHAnsi" w:hAnsiTheme="majorHAnsi" w:cstheme="majorHAnsi"/>
        </w:rPr>
        <w:t xml:space="preserve"> a gas tax. </w:t>
      </w:r>
      <w:r w:rsidR="000D4D93" w:rsidRPr="002048C3">
        <w:rPr>
          <w:rFonts w:asciiTheme="majorHAnsi" w:hAnsiTheme="majorHAnsi" w:cstheme="majorHAnsi"/>
        </w:rPr>
        <w:t>Lastly, d</w:t>
      </w:r>
      <w:r w:rsidR="004203E4" w:rsidRPr="002048C3">
        <w:rPr>
          <w:rFonts w:asciiTheme="majorHAnsi" w:hAnsiTheme="majorHAnsi" w:cstheme="majorHAnsi"/>
        </w:rPr>
        <w:t>ata-driven investment assessment frameworks should be established to drive TCI investment into projects that provide the most value to state citizens, and the highest GHG emission reductions</w:t>
      </w:r>
      <w:r w:rsidR="00C37941">
        <w:rPr>
          <w:rFonts w:asciiTheme="majorHAnsi" w:hAnsiTheme="majorHAnsi" w:cstheme="majorHAnsi"/>
        </w:rPr>
        <w:t>,</w:t>
      </w:r>
      <w:r w:rsidR="004203E4" w:rsidRPr="002048C3">
        <w:rPr>
          <w:rFonts w:asciiTheme="majorHAnsi" w:hAnsiTheme="majorHAnsi" w:cstheme="majorHAnsi"/>
        </w:rPr>
        <w:t xml:space="preserve"> from a cost-benefit perspective.</w:t>
      </w:r>
      <w:r w:rsidR="000D4D93" w:rsidRPr="002048C3">
        <w:rPr>
          <w:rFonts w:asciiTheme="majorHAnsi" w:hAnsiTheme="majorHAnsi" w:cstheme="majorHAnsi"/>
        </w:rPr>
        <w:t xml:space="preserve"> Only with investment oversight controls can citizens can see and reap the value generated by the TCI program, to ensure the continued support of TCI</w:t>
      </w:r>
      <w:r w:rsidR="009759A8">
        <w:rPr>
          <w:rFonts w:asciiTheme="majorHAnsi" w:hAnsiTheme="majorHAnsi" w:cstheme="majorHAnsi"/>
        </w:rPr>
        <w:t>.</w:t>
      </w:r>
    </w:p>
    <w:p w14:paraId="624D61B7" w14:textId="77777777" w:rsidR="0037329F" w:rsidRPr="002048C3" w:rsidRDefault="0037329F" w:rsidP="0037329F">
      <w:pPr>
        <w:autoSpaceDE w:val="0"/>
        <w:autoSpaceDN w:val="0"/>
        <w:adjustRightInd w:val="0"/>
        <w:rPr>
          <w:rFonts w:asciiTheme="majorHAnsi" w:hAnsiTheme="majorHAnsi" w:cstheme="majorHAnsi"/>
          <w:lang w:val="en-GB"/>
        </w:rPr>
      </w:pPr>
    </w:p>
    <w:p w14:paraId="3FA16AB6" w14:textId="724BF1D3" w:rsidR="005E4C33" w:rsidRPr="002048C3" w:rsidRDefault="005E4C33" w:rsidP="0037329F">
      <w:pPr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  <w:lang w:val="en-GB"/>
        </w:rPr>
        <w:t>Thank you for your attention to these comments.</w:t>
      </w:r>
    </w:p>
    <w:p w14:paraId="6358E01B" w14:textId="7A1A08F1" w:rsidR="005E4C33" w:rsidRPr="002048C3" w:rsidRDefault="005E4C33" w:rsidP="0037329F">
      <w:pPr>
        <w:rPr>
          <w:rFonts w:asciiTheme="majorHAnsi" w:hAnsiTheme="majorHAnsi" w:cstheme="majorHAnsi"/>
          <w:lang w:val="en-GB"/>
        </w:rPr>
      </w:pPr>
      <w:r w:rsidRPr="002048C3">
        <w:rPr>
          <w:rFonts w:asciiTheme="majorHAnsi" w:hAnsiTheme="majorHAnsi" w:cstheme="majorHAnsi"/>
          <w:lang w:val="en-GB"/>
        </w:rPr>
        <w:t>Sincerely,</w:t>
      </w:r>
    </w:p>
    <w:p w14:paraId="53D5FBC9" w14:textId="2C97D208" w:rsidR="005E4C33" w:rsidRPr="002048C3" w:rsidRDefault="004A57A9" w:rsidP="0037329F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Michelle</w:t>
      </w:r>
      <w:r w:rsidR="005E4C33" w:rsidRPr="002048C3">
        <w:rPr>
          <w:rFonts w:asciiTheme="majorHAnsi" w:hAnsiTheme="majorHAnsi" w:cstheme="majorHAnsi"/>
          <w:lang w:val="en-GB"/>
        </w:rPr>
        <w:t xml:space="preserve"> Chong</w:t>
      </w:r>
    </w:p>
    <w:p w14:paraId="1052353A" w14:textId="4023CC35" w:rsidR="005E4C33" w:rsidRPr="002048C3" w:rsidRDefault="00A420DB" w:rsidP="004A57A9">
      <w:pPr>
        <w:rPr>
          <w:rFonts w:asciiTheme="majorHAnsi" w:hAnsiTheme="majorHAnsi" w:cstheme="majorHAnsi"/>
          <w:lang w:val="en-US"/>
        </w:rPr>
      </w:pPr>
      <w:r w:rsidRPr="002048C3">
        <w:rPr>
          <w:rFonts w:asciiTheme="majorHAnsi" w:hAnsiTheme="majorHAnsi" w:cstheme="majorHAnsi"/>
          <w:lang w:val="en-US"/>
        </w:rPr>
        <w:t xml:space="preserve">Student </w:t>
      </w:r>
      <w:r w:rsidR="00C37941">
        <w:rPr>
          <w:rFonts w:asciiTheme="majorHAnsi" w:hAnsiTheme="majorHAnsi" w:cstheme="majorHAnsi"/>
          <w:lang w:val="en-US"/>
        </w:rPr>
        <w:t>in</w:t>
      </w:r>
      <w:r w:rsidRPr="002048C3">
        <w:rPr>
          <w:rFonts w:asciiTheme="majorHAnsi" w:hAnsiTheme="majorHAnsi" w:cstheme="majorHAnsi"/>
          <w:lang w:val="en-US"/>
        </w:rPr>
        <w:t xml:space="preserve"> </w:t>
      </w:r>
      <w:r w:rsidR="004A57A9" w:rsidRPr="002048C3">
        <w:rPr>
          <w:rFonts w:asciiTheme="majorHAnsi" w:hAnsiTheme="majorHAnsi" w:cstheme="majorHAnsi"/>
          <w:lang w:val="en-US"/>
        </w:rPr>
        <w:t>Master of Liberal Arts</w:t>
      </w:r>
      <w:r w:rsidR="005E4C33" w:rsidRPr="002048C3">
        <w:rPr>
          <w:rFonts w:asciiTheme="majorHAnsi" w:hAnsiTheme="majorHAnsi" w:cstheme="majorHAnsi"/>
          <w:lang w:val="en-US"/>
        </w:rPr>
        <w:t xml:space="preserve"> in Extension Studies, Concentration in Sustainability</w:t>
      </w:r>
      <w:r w:rsidRPr="002048C3">
        <w:rPr>
          <w:rFonts w:asciiTheme="majorHAnsi" w:hAnsiTheme="majorHAnsi" w:cstheme="majorHAnsi"/>
          <w:lang w:val="en-US"/>
        </w:rPr>
        <w:t xml:space="preserve"> </w:t>
      </w:r>
    </w:p>
    <w:p w14:paraId="7C013A4D" w14:textId="4AB91FE2" w:rsidR="004A57A9" w:rsidRPr="004A57A9" w:rsidRDefault="004A57A9" w:rsidP="004A57A9">
      <w:pPr>
        <w:rPr>
          <w:rFonts w:asciiTheme="majorHAnsi" w:hAnsiTheme="majorHAnsi" w:cstheme="majorHAnsi"/>
          <w:lang w:val="en-US"/>
        </w:rPr>
      </w:pPr>
      <w:r w:rsidRPr="002048C3">
        <w:rPr>
          <w:rFonts w:asciiTheme="majorHAnsi" w:hAnsiTheme="majorHAnsi" w:cstheme="majorHAnsi"/>
          <w:lang w:val="en-US"/>
        </w:rPr>
        <w:t>Harvard Extension School</w:t>
      </w:r>
    </w:p>
    <w:p w14:paraId="73CE144C" w14:textId="074F1EF1" w:rsidR="004A57A9" w:rsidRPr="004A57A9" w:rsidRDefault="004A57A9" w:rsidP="004A57A9">
      <w:pPr>
        <w:rPr>
          <w:rFonts w:asciiTheme="majorHAnsi" w:eastAsia="Times New Roman" w:hAnsiTheme="majorHAnsi" w:cstheme="majorHAnsi"/>
          <w:color w:val="202124"/>
          <w:shd w:val="clear" w:color="auto" w:fill="FFFFFF"/>
          <w:lang w:eastAsia="en-GB"/>
        </w:rPr>
      </w:pPr>
      <w:r w:rsidRPr="002048C3">
        <w:rPr>
          <w:rFonts w:asciiTheme="majorHAnsi" w:eastAsia="Times New Roman" w:hAnsiTheme="majorHAnsi" w:cstheme="majorHAnsi"/>
          <w:color w:val="202124"/>
          <w:shd w:val="clear" w:color="auto" w:fill="FFFFFF"/>
          <w:lang w:eastAsia="en-GB"/>
        </w:rPr>
        <w:t xml:space="preserve">510 Townsend Street, San Francisco, CA 94103 </w:t>
      </w:r>
    </w:p>
    <w:p w14:paraId="779B1AB4" w14:textId="215ACA2C" w:rsidR="008943D7" w:rsidRPr="002048C3" w:rsidRDefault="009F0F4B" w:rsidP="0037329F">
      <w:pPr>
        <w:rPr>
          <w:rFonts w:asciiTheme="majorHAnsi" w:hAnsiTheme="majorHAnsi" w:cstheme="majorHAnsi"/>
          <w:lang w:val="en-US"/>
        </w:rPr>
      </w:pPr>
      <w:hyperlink r:id="rId8" w:history="1">
        <w:r w:rsidR="005E4C33" w:rsidRPr="002048C3">
          <w:rPr>
            <w:rStyle w:val="Hyperlink"/>
            <w:rFonts w:asciiTheme="majorHAnsi" w:hAnsiTheme="majorHAnsi" w:cstheme="majorHAnsi"/>
            <w:lang w:val="en-US"/>
          </w:rPr>
          <w:t>wic630@g.harvard.edu</w:t>
        </w:r>
      </w:hyperlink>
      <w:r w:rsidR="005E4C33" w:rsidRPr="002048C3">
        <w:rPr>
          <w:rFonts w:asciiTheme="majorHAnsi" w:hAnsiTheme="majorHAnsi" w:cstheme="majorHAnsi"/>
          <w:lang w:val="en-US"/>
        </w:rPr>
        <w:t xml:space="preserve">  </w:t>
      </w:r>
    </w:p>
    <w:sectPr w:rsidR="008943D7" w:rsidRPr="002048C3" w:rsidSect="000D5356">
      <w:footerReference w:type="even" r:id="rId9"/>
      <w:footerReference w:type="default" r:id="rId10"/>
      <w:pgSz w:w="11900" w:h="16840"/>
      <w:pgMar w:top="1440" w:right="1440" w:bottom="1440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F5895" w14:textId="77777777" w:rsidR="009F0F4B" w:rsidRDefault="009F0F4B" w:rsidP="000534F2">
      <w:r>
        <w:separator/>
      </w:r>
    </w:p>
  </w:endnote>
  <w:endnote w:type="continuationSeparator" w:id="0">
    <w:p w14:paraId="12D0656A" w14:textId="77777777" w:rsidR="009F0F4B" w:rsidRDefault="009F0F4B" w:rsidP="0005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-apple-system-fon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">
    <w:altName w:val="﷽﷽﷽﷽﷽﷽﷽﷽T Std 55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8987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3CEF6F" w14:textId="47616E90" w:rsidR="00C37941" w:rsidRDefault="00C37941" w:rsidP="009F36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614911" w14:textId="77777777" w:rsidR="00C37941" w:rsidRDefault="00C37941" w:rsidP="000534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39522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9F5F22" w14:textId="001CB845" w:rsidR="00C37941" w:rsidRDefault="00C37941" w:rsidP="009F36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038D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99B447D" w14:textId="77777777" w:rsidR="00C37941" w:rsidRDefault="00C37941" w:rsidP="000534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42A3" w14:textId="77777777" w:rsidR="009F0F4B" w:rsidRDefault="009F0F4B" w:rsidP="000534F2">
      <w:r>
        <w:separator/>
      </w:r>
    </w:p>
  </w:footnote>
  <w:footnote w:type="continuationSeparator" w:id="0">
    <w:p w14:paraId="09F9C2D9" w14:textId="77777777" w:rsidR="009F0F4B" w:rsidRDefault="009F0F4B" w:rsidP="000534F2">
      <w:r>
        <w:continuationSeparator/>
      </w:r>
    </w:p>
  </w:footnote>
  <w:footnote w:id="1">
    <w:p w14:paraId="01BCAA7A" w14:textId="67E2BF4F" w:rsidR="00C37941" w:rsidRPr="000D5356" w:rsidRDefault="00C37941">
      <w:pPr>
        <w:pStyle w:val="FootnoteText"/>
        <w:rPr>
          <w:rFonts w:asciiTheme="majorHAnsi" w:hAnsiTheme="majorHAnsi" w:cstheme="majorHAnsi"/>
          <w:sz w:val="18"/>
          <w:szCs w:val="18"/>
          <w:lang w:val="en-US"/>
        </w:rPr>
      </w:pPr>
      <w:r w:rsidRPr="000D5356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0D5356">
        <w:rPr>
          <w:rFonts w:asciiTheme="majorHAnsi" w:hAnsiTheme="majorHAnsi" w:cstheme="majorHAnsi"/>
          <w:sz w:val="18"/>
          <w:szCs w:val="18"/>
        </w:rPr>
        <w:t xml:space="preserve"> </w:t>
      </w:r>
      <w:hyperlink r:id="rId1" w:history="1">
        <w:r w:rsidRPr="000D5356">
          <w:rPr>
            <w:rStyle w:val="Hyperlink"/>
            <w:rFonts w:asciiTheme="majorHAnsi" w:hAnsiTheme="majorHAnsi" w:cstheme="majorHAnsi"/>
            <w:sz w:val="18"/>
            <w:szCs w:val="18"/>
          </w:rPr>
          <w:t>https://www.cga.ct.gov/2021/TOB/S/PDF/2021SB-00884-R00-SB.PDF</w:t>
        </w:r>
      </w:hyperlink>
      <w:r w:rsidRPr="000D5356">
        <w:rPr>
          <w:rFonts w:asciiTheme="majorHAnsi" w:hAnsiTheme="majorHAnsi" w:cstheme="majorHAnsi"/>
          <w:sz w:val="18"/>
          <w:szCs w:val="18"/>
        </w:rPr>
        <w:t xml:space="preserve"> </w:t>
      </w:r>
    </w:p>
  </w:footnote>
  <w:footnote w:id="2">
    <w:p w14:paraId="68EE5B4A" w14:textId="6C66F6BD" w:rsidR="00886CE9" w:rsidRPr="000D5356" w:rsidRDefault="00886CE9">
      <w:pPr>
        <w:pStyle w:val="FootnoteText"/>
        <w:rPr>
          <w:rFonts w:asciiTheme="majorHAnsi" w:hAnsiTheme="majorHAnsi" w:cstheme="majorHAnsi"/>
          <w:sz w:val="18"/>
          <w:szCs w:val="18"/>
          <w:lang w:val="en-US"/>
        </w:rPr>
      </w:pPr>
      <w:r w:rsidRPr="000D5356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0D5356">
        <w:rPr>
          <w:rFonts w:asciiTheme="majorHAnsi" w:hAnsiTheme="majorHAnsi" w:cstheme="majorHAnsi"/>
          <w:sz w:val="18"/>
          <w:szCs w:val="18"/>
        </w:rPr>
        <w:t xml:space="preserve"> </w:t>
      </w:r>
      <w:hyperlink r:id="rId2" w:history="1">
        <w:r w:rsidRPr="000D5356">
          <w:rPr>
            <w:rStyle w:val="Hyperlink"/>
            <w:rFonts w:asciiTheme="majorHAnsi" w:hAnsiTheme="majorHAnsi" w:cstheme="majorHAnsi"/>
            <w:sz w:val="18"/>
            <w:szCs w:val="18"/>
          </w:rPr>
          <w:t>https://www.cga.ct.gov/2021/TOB/S/PDF/2021SB-00884-R00-SB.PDF</w:t>
        </w:r>
      </w:hyperlink>
    </w:p>
  </w:footnote>
  <w:footnote w:id="3">
    <w:p w14:paraId="3F485EF8" w14:textId="77777777" w:rsidR="00C37941" w:rsidRPr="007F5AA7" w:rsidRDefault="00C37941" w:rsidP="00263BF8">
      <w:pPr>
        <w:pStyle w:val="FootnoteText"/>
        <w:rPr>
          <w:rFonts w:asciiTheme="majorHAnsi" w:hAnsiTheme="majorHAnsi" w:cstheme="majorHAnsi"/>
          <w:lang w:val="en-US"/>
        </w:rPr>
      </w:pPr>
      <w:r w:rsidRPr="000D5356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0D5356">
        <w:rPr>
          <w:rFonts w:asciiTheme="majorHAnsi" w:hAnsiTheme="majorHAnsi" w:cstheme="majorHAnsi"/>
          <w:sz w:val="18"/>
          <w:szCs w:val="18"/>
        </w:rPr>
        <w:t xml:space="preserve"> </w:t>
      </w:r>
      <w:hyperlink r:id="rId3" w:history="1">
        <w:r w:rsidRPr="000D5356">
          <w:rPr>
            <w:rStyle w:val="Hyperlink"/>
            <w:rFonts w:asciiTheme="majorHAnsi" w:hAnsiTheme="majorHAnsi" w:cstheme="majorHAnsi"/>
            <w:sz w:val="18"/>
            <w:szCs w:val="18"/>
          </w:rPr>
          <w:t>https://yankeeinstitute.org/2020/01/16/fact-check-governor-denies-diverting-transportation-funds-budget-says-otherwise/</w:t>
        </w:r>
      </w:hyperlink>
      <w:r w:rsidRPr="000D5356">
        <w:rPr>
          <w:rFonts w:asciiTheme="majorHAnsi" w:hAnsiTheme="majorHAnsi" w:cstheme="majorHAnsi"/>
          <w:sz w:val="18"/>
          <w:szCs w:val="18"/>
        </w:rPr>
        <w:t xml:space="preserve"> </w:t>
      </w:r>
    </w:p>
  </w:footnote>
  <w:footnote w:id="4">
    <w:p w14:paraId="6D5882DF" w14:textId="6FA4A567" w:rsidR="00C37941" w:rsidRPr="007F5AA7" w:rsidRDefault="00C37941">
      <w:pPr>
        <w:pStyle w:val="FootnoteText"/>
        <w:rPr>
          <w:rFonts w:asciiTheme="majorHAnsi" w:hAnsiTheme="majorHAnsi" w:cstheme="majorHAnsi"/>
          <w:lang w:val="en-US"/>
        </w:rPr>
      </w:pPr>
      <w:r w:rsidRPr="007F5AA7">
        <w:rPr>
          <w:rStyle w:val="FootnoteReference"/>
          <w:rFonts w:asciiTheme="majorHAnsi" w:hAnsiTheme="majorHAnsi" w:cstheme="majorHAnsi"/>
        </w:rPr>
        <w:footnoteRef/>
      </w:r>
      <w:r w:rsidRPr="007F5AA7">
        <w:rPr>
          <w:rFonts w:asciiTheme="majorHAnsi" w:hAnsiTheme="majorHAnsi" w:cstheme="majorHAnsi"/>
        </w:rPr>
        <w:t xml:space="preserve"> </w:t>
      </w:r>
      <w:hyperlink r:id="rId4" w:history="1">
        <w:r w:rsidRPr="000D5356">
          <w:rPr>
            <w:rStyle w:val="Hyperlink"/>
            <w:rFonts w:asciiTheme="majorHAnsi" w:hAnsiTheme="majorHAnsi" w:cstheme="majorHAnsi"/>
            <w:sz w:val="18"/>
            <w:szCs w:val="18"/>
          </w:rPr>
          <w:t>https://yankeeinstitute.org/2021/03/23/fact-check-tci-money-will-go-into-the-special-transportation-fund/</w:t>
        </w:r>
      </w:hyperlink>
      <w:r w:rsidRPr="007F5AA7">
        <w:rPr>
          <w:rFonts w:asciiTheme="majorHAnsi" w:hAnsiTheme="majorHAnsi" w:cstheme="maj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C3B3C"/>
    <w:multiLevelType w:val="multilevel"/>
    <w:tmpl w:val="640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C2FDA"/>
    <w:multiLevelType w:val="hybridMultilevel"/>
    <w:tmpl w:val="27BA7BEE"/>
    <w:lvl w:ilvl="0" w:tplc="B96AA3AC">
      <w:start w:val="1"/>
      <w:numFmt w:val="upperLetter"/>
      <w:lvlText w:val="%1."/>
      <w:lvlJc w:val="left"/>
      <w:pPr>
        <w:ind w:left="1080" w:hanging="720"/>
      </w:pPr>
      <w:rPr>
        <w:rFonts w:ascii="-apple-system-font" w:eastAsia="Times New Roman" w:hAnsi="-apple-system-fon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6FC5"/>
    <w:multiLevelType w:val="hybridMultilevel"/>
    <w:tmpl w:val="6E8E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49A7"/>
    <w:multiLevelType w:val="hybridMultilevel"/>
    <w:tmpl w:val="A238DAA6"/>
    <w:lvl w:ilvl="0" w:tplc="B96AA3AC">
      <w:start w:val="1"/>
      <w:numFmt w:val="upperLetter"/>
      <w:lvlText w:val="%1."/>
      <w:lvlJc w:val="left"/>
      <w:pPr>
        <w:ind w:left="1080" w:hanging="720"/>
      </w:pPr>
      <w:rPr>
        <w:rFonts w:ascii="-apple-system-font" w:eastAsia="Times New Roman" w:hAnsi="-apple-system-fon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367A"/>
    <w:multiLevelType w:val="hybridMultilevel"/>
    <w:tmpl w:val="4D5C12E0"/>
    <w:lvl w:ilvl="0" w:tplc="97925254">
      <w:start w:val="1"/>
      <w:numFmt w:val="lowerLetter"/>
      <w:lvlText w:val="(%1)"/>
      <w:lvlJc w:val="left"/>
      <w:pPr>
        <w:ind w:left="880" w:hanging="72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1" w:tplc="B8AE78F0">
      <w:start w:val="1"/>
      <w:numFmt w:val="decimal"/>
      <w:lvlText w:val="(%2)"/>
      <w:lvlJc w:val="left"/>
      <w:pPr>
        <w:ind w:left="1600" w:hanging="72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2" w:tplc="F93AB6C4">
      <w:numFmt w:val="bullet"/>
      <w:lvlText w:val="•"/>
      <w:lvlJc w:val="left"/>
      <w:pPr>
        <w:ind w:left="2557" w:hanging="720"/>
      </w:pPr>
      <w:rPr>
        <w:rFonts w:hint="default"/>
        <w:lang w:val="en-US" w:eastAsia="en-US" w:bidi="en-US"/>
      </w:rPr>
    </w:lvl>
    <w:lvl w:ilvl="3" w:tplc="15BA03F4">
      <w:numFmt w:val="bullet"/>
      <w:lvlText w:val="•"/>
      <w:lvlJc w:val="left"/>
      <w:pPr>
        <w:ind w:left="3515" w:hanging="720"/>
      </w:pPr>
      <w:rPr>
        <w:rFonts w:hint="default"/>
        <w:lang w:val="en-US" w:eastAsia="en-US" w:bidi="en-US"/>
      </w:rPr>
    </w:lvl>
    <w:lvl w:ilvl="4" w:tplc="06D0B76A">
      <w:numFmt w:val="bullet"/>
      <w:lvlText w:val="•"/>
      <w:lvlJc w:val="left"/>
      <w:pPr>
        <w:ind w:left="4473" w:hanging="720"/>
      </w:pPr>
      <w:rPr>
        <w:rFonts w:hint="default"/>
        <w:lang w:val="en-US" w:eastAsia="en-US" w:bidi="en-US"/>
      </w:rPr>
    </w:lvl>
    <w:lvl w:ilvl="5" w:tplc="130E3D98">
      <w:numFmt w:val="bullet"/>
      <w:lvlText w:val="•"/>
      <w:lvlJc w:val="left"/>
      <w:pPr>
        <w:ind w:left="5431" w:hanging="720"/>
      </w:pPr>
      <w:rPr>
        <w:rFonts w:hint="default"/>
        <w:lang w:val="en-US" w:eastAsia="en-US" w:bidi="en-US"/>
      </w:rPr>
    </w:lvl>
    <w:lvl w:ilvl="6" w:tplc="63B44BF6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en-US"/>
      </w:rPr>
    </w:lvl>
    <w:lvl w:ilvl="7" w:tplc="8BFCADFE">
      <w:numFmt w:val="bullet"/>
      <w:lvlText w:val="•"/>
      <w:lvlJc w:val="left"/>
      <w:pPr>
        <w:ind w:left="7346" w:hanging="720"/>
      </w:pPr>
      <w:rPr>
        <w:rFonts w:hint="default"/>
        <w:lang w:val="en-US" w:eastAsia="en-US" w:bidi="en-US"/>
      </w:rPr>
    </w:lvl>
    <w:lvl w:ilvl="8" w:tplc="933CE0BE">
      <w:numFmt w:val="bullet"/>
      <w:lvlText w:val="•"/>
      <w:lvlJc w:val="left"/>
      <w:pPr>
        <w:ind w:left="83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ECD5CB0"/>
    <w:multiLevelType w:val="hybridMultilevel"/>
    <w:tmpl w:val="66D20B7A"/>
    <w:lvl w:ilvl="0" w:tplc="B540F8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50"/>
    <w:rsid w:val="000127CA"/>
    <w:rsid w:val="00025BFE"/>
    <w:rsid w:val="000534F2"/>
    <w:rsid w:val="000A3058"/>
    <w:rsid w:val="000B5600"/>
    <w:rsid w:val="000B656B"/>
    <w:rsid w:val="000C7F60"/>
    <w:rsid w:val="000D4D93"/>
    <w:rsid w:val="000D5356"/>
    <w:rsid w:val="00132C94"/>
    <w:rsid w:val="0014040B"/>
    <w:rsid w:val="001E6CF1"/>
    <w:rsid w:val="002048C3"/>
    <w:rsid w:val="00212457"/>
    <w:rsid w:val="00221F40"/>
    <w:rsid w:val="0025319A"/>
    <w:rsid w:val="00263BF8"/>
    <w:rsid w:val="0028224A"/>
    <w:rsid w:val="002A229D"/>
    <w:rsid w:val="002E70BA"/>
    <w:rsid w:val="00303617"/>
    <w:rsid w:val="0037329F"/>
    <w:rsid w:val="003A6FE5"/>
    <w:rsid w:val="003B0970"/>
    <w:rsid w:val="003E1851"/>
    <w:rsid w:val="003E5BE4"/>
    <w:rsid w:val="0042038D"/>
    <w:rsid w:val="004203E4"/>
    <w:rsid w:val="00481088"/>
    <w:rsid w:val="004A57A9"/>
    <w:rsid w:val="004B0F5E"/>
    <w:rsid w:val="004B5911"/>
    <w:rsid w:val="004E2DBF"/>
    <w:rsid w:val="00520495"/>
    <w:rsid w:val="00535C5A"/>
    <w:rsid w:val="005423C2"/>
    <w:rsid w:val="0054573F"/>
    <w:rsid w:val="00545A34"/>
    <w:rsid w:val="00550A85"/>
    <w:rsid w:val="00575593"/>
    <w:rsid w:val="0057593D"/>
    <w:rsid w:val="00591FF9"/>
    <w:rsid w:val="00595737"/>
    <w:rsid w:val="005B5BA0"/>
    <w:rsid w:val="005B6AC0"/>
    <w:rsid w:val="005E4C33"/>
    <w:rsid w:val="005F2B99"/>
    <w:rsid w:val="005F57DB"/>
    <w:rsid w:val="006003EF"/>
    <w:rsid w:val="006027FA"/>
    <w:rsid w:val="00625B56"/>
    <w:rsid w:val="00647789"/>
    <w:rsid w:val="0065596A"/>
    <w:rsid w:val="006B7237"/>
    <w:rsid w:val="006C7529"/>
    <w:rsid w:val="00712DAE"/>
    <w:rsid w:val="00783171"/>
    <w:rsid w:val="00783380"/>
    <w:rsid w:val="00787A29"/>
    <w:rsid w:val="00794E51"/>
    <w:rsid w:val="007A4CC0"/>
    <w:rsid w:val="007D6B81"/>
    <w:rsid w:val="007E329F"/>
    <w:rsid w:val="007F5AA7"/>
    <w:rsid w:val="00856BB6"/>
    <w:rsid w:val="00857989"/>
    <w:rsid w:val="008653E5"/>
    <w:rsid w:val="00874E79"/>
    <w:rsid w:val="0088325E"/>
    <w:rsid w:val="00886CE9"/>
    <w:rsid w:val="008943D7"/>
    <w:rsid w:val="008A7367"/>
    <w:rsid w:val="008E7B07"/>
    <w:rsid w:val="00951013"/>
    <w:rsid w:val="00964F6D"/>
    <w:rsid w:val="00975417"/>
    <w:rsid w:val="009759A8"/>
    <w:rsid w:val="009F0F4B"/>
    <w:rsid w:val="009F361B"/>
    <w:rsid w:val="00A07E0B"/>
    <w:rsid w:val="00A420DB"/>
    <w:rsid w:val="00A42FB3"/>
    <w:rsid w:val="00A86693"/>
    <w:rsid w:val="00A87DC7"/>
    <w:rsid w:val="00A90A7E"/>
    <w:rsid w:val="00AB2B7C"/>
    <w:rsid w:val="00AB55F5"/>
    <w:rsid w:val="00AD6359"/>
    <w:rsid w:val="00B3222B"/>
    <w:rsid w:val="00B57F55"/>
    <w:rsid w:val="00B61D73"/>
    <w:rsid w:val="00B632B1"/>
    <w:rsid w:val="00B85024"/>
    <w:rsid w:val="00B975CA"/>
    <w:rsid w:val="00BA6BFA"/>
    <w:rsid w:val="00BC2C71"/>
    <w:rsid w:val="00BD74F4"/>
    <w:rsid w:val="00C37941"/>
    <w:rsid w:val="00C6642E"/>
    <w:rsid w:val="00CB5A0D"/>
    <w:rsid w:val="00CC2DBB"/>
    <w:rsid w:val="00CE180B"/>
    <w:rsid w:val="00D73A97"/>
    <w:rsid w:val="00D75D91"/>
    <w:rsid w:val="00DD36F6"/>
    <w:rsid w:val="00E35C3B"/>
    <w:rsid w:val="00E65E36"/>
    <w:rsid w:val="00E85E61"/>
    <w:rsid w:val="00EC52C4"/>
    <w:rsid w:val="00EE1778"/>
    <w:rsid w:val="00F14250"/>
    <w:rsid w:val="00F413D7"/>
    <w:rsid w:val="00F816DA"/>
    <w:rsid w:val="00FB7495"/>
    <w:rsid w:val="00FD7AE4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7C2C89"/>
  <w15:docId w15:val="{A5EAE68B-2812-4B46-804E-FD5B734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71"/>
  </w:style>
  <w:style w:type="paragraph" w:styleId="Heading1">
    <w:name w:val="heading 1"/>
    <w:basedOn w:val="Normal"/>
    <w:link w:val="Heading1Char"/>
    <w:uiPriority w:val="9"/>
    <w:qFormat/>
    <w:rsid w:val="008A7367"/>
    <w:pPr>
      <w:widowControl w:val="0"/>
      <w:autoSpaceDE w:val="0"/>
      <w:autoSpaceDN w:val="0"/>
      <w:ind w:left="160"/>
      <w:outlineLvl w:val="0"/>
    </w:pPr>
    <w:rPr>
      <w:rFonts w:ascii="Arial" w:eastAsia="Arial" w:hAnsi="Arial" w:cs="Arial"/>
      <w:b/>
      <w:bCs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E0B"/>
    <w:pPr>
      <w:autoSpaceDE w:val="0"/>
      <w:autoSpaceDN w:val="0"/>
      <w:adjustRightInd w:val="0"/>
    </w:pPr>
    <w:rPr>
      <w:rFonts w:ascii="Avenir" w:hAnsi="Avenir" w:cs="Avenir"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0B656B"/>
    <w:rPr>
      <w:b/>
      <w:bCs/>
    </w:rPr>
  </w:style>
  <w:style w:type="character" w:styleId="Hyperlink">
    <w:name w:val="Hyperlink"/>
    <w:basedOn w:val="DefaultParagraphFont"/>
    <w:uiPriority w:val="99"/>
    <w:unhideWhenUsed/>
    <w:rsid w:val="000B656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65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9754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180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4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4F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5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F2"/>
  </w:style>
  <w:style w:type="character" w:styleId="PageNumber">
    <w:name w:val="page number"/>
    <w:basedOn w:val="DefaultParagraphFont"/>
    <w:uiPriority w:val="99"/>
    <w:semiHidden/>
    <w:unhideWhenUsed/>
    <w:rsid w:val="000534F2"/>
  </w:style>
  <w:style w:type="paragraph" w:styleId="NormalWeb">
    <w:name w:val="Normal (Web)"/>
    <w:basedOn w:val="Normal"/>
    <w:uiPriority w:val="99"/>
    <w:unhideWhenUsed/>
    <w:rsid w:val="00A42F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7367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A7367"/>
    <w:pPr>
      <w:widowControl w:val="0"/>
      <w:autoSpaceDE w:val="0"/>
      <w:autoSpaceDN w:val="0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7367"/>
    <w:rPr>
      <w:rFonts w:ascii="Arial" w:eastAsia="Arial" w:hAnsi="Arial" w:cs="Arial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0D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A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2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7A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A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A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A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A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7941"/>
  </w:style>
  <w:style w:type="paragraph" w:styleId="Header">
    <w:name w:val="header"/>
    <w:basedOn w:val="Normal"/>
    <w:link w:val="HeaderChar"/>
    <w:uiPriority w:val="99"/>
    <w:unhideWhenUsed/>
    <w:rsid w:val="000D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630@g.harvar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portationandclimat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ankeeinstitute.org/2020/01/16/fact-check-governor-denies-diverting-transportation-funds-budget-says-otherwise/" TargetMode="External"/><Relationship Id="rId2" Type="http://schemas.openxmlformats.org/officeDocument/2006/relationships/hyperlink" Target="https://www.cga.ct.gov/2021/TOB/S/PDF/2021SB-00884-R00-SB.PDF" TargetMode="External"/><Relationship Id="rId1" Type="http://schemas.openxmlformats.org/officeDocument/2006/relationships/hyperlink" Target="https://www.cga.ct.gov/2021/TOB/S/PDF/2021SB-00884-R00-SB.PDF" TargetMode="External"/><Relationship Id="rId4" Type="http://schemas.openxmlformats.org/officeDocument/2006/relationships/hyperlink" Target="https://yankeeinstitute.org/2021/03/23/fact-check-tci-money-will-go-into-the-special-transportation-f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Chong</dc:creator>
  <cp:keywords/>
  <dc:description/>
  <cp:lastModifiedBy>Michelle Chong</cp:lastModifiedBy>
  <cp:revision>2</cp:revision>
  <dcterms:created xsi:type="dcterms:W3CDTF">2021-05-08T11:00:00Z</dcterms:created>
  <dcterms:modified xsi:type="dcterms:W3CDTF">2021-05-08T11:00:00Z</dcterms:modified>
</cp:coreProperties>
</file>